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81DAC8">
      <w:pPr>
        <w:spacing w:line="360" w:lineRule="auto"/>
        <w:jc w:val="center"/>
        <w:rPr>
          <w:rFonts w:ascii="Arial" w:hAnsi="Arial" w:cs="Arial"/>
          <w:color w:val="000000" w:themeColor="text1"/>
          <w:sz w:val="20"/>
          <w:szCs w:val="20"/>
          <w14:textFill>
            <w14:solidFill>
              <w14:schemeClr w14:val="tx1"/>
            </w14:solidFill>
          </w14:textFill>
        </w:rPr>
      </w:pPr>
      <w:r>
        <w:rPr>
          <w:rFonts w:ascii="Arial" w:hAnsi="Arial" w:cs="Arial"/>
          <w:b/>
          <w:bCs/>
          <w:iCs/>
          <w:color w:val="000000" w:themeColor="text1"/>
          <w:sz w:val="20"/>
          <w:szCs w:val="20"/>
          <w14:textFill>
            <w14:solidFill>
              <w14:schemeClr w14:val="tx1"/>
            </w14:solidFill>
          </w14:textFill>
        </w:rPr>
        <w:t>ATA DE REGISTRO DE PREÇOS</w:t>
      </w:r>
    </w:p>
    <w:p w14:paraId="4D3CDC73">
      <w:pPr>
        <w:widowControl w:val="0"/>
        <w:autoSpaceDE w:val="0"/>
        <w:autoSpaceDN w:val="0"/>
        <w:adjustRightInd w:val="0"/>
        <w:spacing w:line="360" w:lineRule="auto"/>
        <w:ind w:right="-15"/>
        <w:jc w:val="center"/>
        <w:rPr>
          <w:rFonts w:ascii="Arial" w:hAnsi="Arial" w:cs="Arial"/>
          <w:i/>
          <w:color w:val="000000" w:themeColor="text1"/>
          <w:sz w:val="20"/>
          <w:szCs w:val="20"/>
          <w14:textFill>
            <w14:solidFill>
              <w14:schemeClr w14:val="tx1"/>
            </w14:solidFill>
          </w14:textFill>
        </w:rPr>
      </w:pPr>
      <w:r>
        <w:rPr>
          <w:rFonts w:ascii="Arial" w:hAnsi="Arial" w:cs="Arial"/>
          <w:i/>
          <w:color w:val="000000" w:themeColor="text1"/>
          <w:sz w:val="20"/>
          <w:szCs w:val="20"/>
          <w14:textFill>
            <w14:solidFill>
              <w14:schemeClr w14:val="tx1"/>
            </w14:solidFill>
          </w14:textFill>
        </w:rPr>
        <w:t>PREFEITURA MUNICIPAL DE SANTA MARIA DE JETIBÁ</w:t>
      </w:r>
    </w:p>
    <w:p w14:paraId="237639A1">
      <w:pPr>
        <w:widowControl w:val="0"/>
        <w:autoSpaceDE w:val="0"/>
        <w:autoSpaceDN w:val="0"/>
        <w:adjustRightInd w:val="0"/>
        <w:spacing w:line="360" w:lineRule="auto"/>
        <w:ind w:right="-30"/>
        <w:jc w:val="center"/>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 xml:space="preserve">ATA DE REGISTRO DE PREÇOS </w:t>
      </w:r>
    </w:p>
    <w:p w14:paraId="37DD3E51">
      <w:pPr>
        <w:widowControl w:val="0"/>
        <w:autoSpaceDE w:val="0"/>
        <w:autoSpaceDN w:val="0"/>
        <w:adjustRightInd w:val="0"/>
        <w:spacing w:line="360" w:lineRule="auto"/>
        <w:ind w:right="-30"/>
        <w:jc w:val="center"/>
        <w:rPr>
          <w:rFonts w:ascii="Arial" w:hAnsi="Arial" w:cs="Arial"/>
          <w:bCs/>
          <w:color w:val="000000" w:themeColor="text1"/>
          <w:sz w:val="20"/>
          <w:szCs w:val="20"/>
          <w14:textFill>
            <w14:solidFill>
              <w14:schemeClr w14:val="tx1"/>
            </w14:solidFill>
          </w14:textFill>
        </w:rPr>
      </w:pPr>
      <w:r>
        <w:rPr>
          <w:rFonts w:ascii="Arial" w:hAnsi="Arial" w:cs="Arial"/>
          <w:bCs/>
          <w:color w:val="000000" w:themeColor="text1"/>
          <w:sz w:val="20"/>
          <w:szCs w:val="20"/>
          <w14:textFill>
            <w14:solidFill>
              <w14:schemeClr w14:val="tx1"/>
            </w14:solidFill>
          </w14:textFill>
        </w:rPr>
        <w:t>N.º .........</w:t>
      </w:r>
    </w:p>
    <w:p w14:paraId="02B39B3D">
      <w:pPr>
        <w:widowControl w:val="0"/>
        <w:autoSpaceDE w:val="0"/>
        <w:autoSpaceDN w:val="0"/>
        <w:adjustRightInd w:val="0"/>
        <w:spacing w:line="360" w:lineRule="auto"/>
        <w:ind w:right="-30"/>
        <w:jc w:val="both"/>
        <w:rPr>
          <w:rFonts w:ascii="Arial" w:hAnsi="Arial" w:cs="Arial"/>
          <w:color w:val="000000" w:themeColor="text1"/>
          <w:sz w:val="20"/>
          <w:szCs w:val="20"/>
          <w14:textFill>
            <w14:solidFill>
              <w14:schemeClr w14:val="tx1"/>
            </w14:solidFill>
          </w14:textFill>
        </w:rPr>
      </w:pPr>
    </w:p>
    <w:p w14:paraId="4D056726">
      <w:pPr>
        <w:widowControl w:val="0"/>
        <w:tabs>
          <w:tab w:val="center" w:pos="4779"/>
          <w:tab w:val="right" w:pos="9198"/>
        </w:tabs>
        <w:autoSpaceDE w:val="0"/>
        <w:autoSpaceDN w:val="0"/>
        <w:adjustRightInd w:val="0"/>
        <w:spacing w:before="120" w:after="120" w:line="276" w:lineRule="auto"/>
        <w:ind w:right="-28" w:firstLine="1418"/>
        <w:jc w:val="both"/>
        <w:rPr>
          <w:rFonts w:ascii="Arial" w:hAnsi="Arial" w:cs="Arial"/>
          <w:color w:val="000000" w:themeColor="text1"/>
          <w:sz w:val="20"/>
          <w:szCs w:val="20"/>
          <w14:textFill>
            <w14:solidFill>
              <w14:schemeClr w14:val="tx1"/>
            </w14:solidFill>
          </w14:textFill>
        </w:rPr>
      </w:pPr>
      <w:r>
        <w:rPr>
          <w:rFonts w:hint="default" w:ascii="Arial" w:hAnsi="Arial" w:cs="Arial"/>
          <w:color w:val="000000" w:themeColor="text1"/>
          <w:sz w:val="20"/>
          <w:szCs w:val="20"/>
          <w:lang w:val="pt-BR"/>
          <w14:textFill>
            <w14:solidFill>
              <w14:schemeClr w14:val="tx1"/>
            </w14:solidFill>
          </w14:textFill>
        </w:rPr>
        <w:t>A Prefeitura Municipal de Santa Maria de Jetibá</w:t>
      </w:r>
      <w:r>
        <w:rPr>
          <w:rFonts w:ascii="Arial" w:hAnsi="Arial" w:cs="Arial"/>
          <w:color w:val="000000" w:themeColor="text1"/>
          <w:sz w:val="20"/>
          <w:szCs w:val="20"/>
          <w14:textFill>
            <w14:solidFill>
              <w14:schemeClr w14:val="tx1"/>
            </w14:solidFill>
          </w14:textFill>
        </w:rPr>
        <w:t xml:space="preserve">, com sede </w:t>
      </w:r>
      <w:r>
        <w:rPr>
          <w:rFonts w:hint="default" w:ascii="Arial" w:hAnsi="Arial" w:cs="Arial"/>
          <w:color w:val="000000" w:themeColor="text1"/>
          <w:sz w:val="20"/>
          <w:szCs w:val="20"/>
          <w:lang w:val="pt-BR"/>
          <w14:textFill>
            <w14:solidFill>
              <w14:schemeClr w14:val="tx1"/>
            </w14:solidFill>
          </w14:textFill>
        </w:rPr>
        <w:t>na Rua Dalmácio Espindula</w:t>
      </w:r>
      <w:r>
        <w:rPr>
          <w:rFonts w:ascii="Arial" w:hAnsi="Arial" w:cs="Arial"/>
          <w:color w:val="000000" w:themeColor="text1"/>
          <w:sz w:val="20"/>
          <w:szCs w:val="20"/>
          <w14:textFill>
            <w14:solidFill>
              <w14:schemeClr w14:val="tx1"/>
            </w14:solidFill>
          </w14:textFill>
        </w:rPr>
        <w:t>,</w:t>
      </w:r>
      <w:r>
        <w:rPr>
          <w:rFonts w:hint="default" w:ascii="Arial" w:hAnsi="Arial" w:cs="Arial"/>
          <w:color w:val="000000" w:themeColor="text1"/>
          <w:sz w:val="20"/>
          <w:szCs w:val="20"/>
          <w:lang w:val="pt-BR"/>
          <w14:textFill>
            <w14:solidFill>
              <w14:schemeClr w14:val="tx1"/>
            </w14:solidFill>
          </w14:textFill>
        </w:rPr>
        <w:t xml:space="preserve"> 115 - Centro,</w:t>
      </w:r>
      <w:r>
        <w:rPr>
          <w:rFonts w:ascii="Arial" w:hAnsi="Arial" w:cs="Arial"/>
          <w:color w:val="000000" w:themeColor="text1"/>
          <w:sz w:val="20"/>
          <w:szCs w:val="20"/>
          <w14:textFill>
            <w14:solidFill>
              <w14:schemeClr w14:val="tx1"/>
            </w14:solidFill>
          </w14:textFill>
        </w:rPr>
        <w:t xml:space="preserve"> na cidade de </w:t>
      </w:r>
      <w:r>
        <w:rPr>
          <w:rFonts w:hint="default" w:ascii="Arial" w:hAnsi="Arial" w:cs="Arial"/>
          <w:color w:val="000000" w:themeColor="text1"/>
          <w:sz w:val="20"/>
          <w:szCs w:val="20"/>
          <w:lang w:val="pt-BR"/>
          <w14:textFill>
            <w14:solidFill>
              <w14:schemeClr w14:val="tx1"/>
            </w14:solidFill>
          </w14:textFill>
        </w:rPr>
        <w:t>Santa Maria de Jetibá, ES</w:t>
      </w:r>
      <w:r>
        <w:rPr>
          <w:rFonts w:ascii="Arial" w:hAnsi="Arial" w:cs="Arial"/>
          <w:color w:val="000000" w:themeColor="text1"/>
          <w:sz w:val="20"/>
          <w:szCs w:val="20"/>
          <w14:textFill>
            <w14:solidFill>
              <w14:schemeClr w14:val="tx1"/>
            </w14:solidFill>
          </w14:textFill>
        </w:rPr>
        <w:t>, inscrit</w:t>
      </w:r>
      <w:r>
        <w:rPr>
          <w:rFonts w:hint="default" w:ascii="Arial" w:hAnsi="Arial" w:cs="Arial"/>
          <w:color w:val="000000" w:themeColor="text1"/>
          <w:sz w:val="20"/>
          <w:szCs w:val="20"/>
          <w:lang w:val="pt-BR"/>
          <w14:textFill>
            <w14:solidFill>
              <w14:schemeClr w14:val="tx1"/>
            </w14:solidFill>
          </w14:textFill>
        </w:rPr>
        <w:t>a</w:t>
      </w:r>
      <w:r>
        <w:rPr>
          <w:rFonts w:ascii="Arial" w:hAnsi="Arial" w:cs="Arial"/>
          <w:color w:val="000000" w:themeColor="text1"/>
          <w:sz w:val="20"/>
          <w:szCs w:val="20"/>
          <w14:textFill>
            <w14:solidFill>
              <w14:schemeClr w14:val="tx1"/>
            </w14:solidFill>
          </w14:textFill>
        </w:rPr>
        <w:t xml:space="preserve"> no CNPJ sob o nº </w:t>
      </w:r>
      <w:r>
        <w:rPr>
          <w:rFonts w:hint="default" w:ascii="Arial" w:hAnsi="Arial" w:cs="Arial"/>
          <w:color w:val="000000" w:themeColor="text1"/>
          <w:sz w:val="20"/>
          <w:szCs w:val="20"/>
          <w:lang w:val="pt-BR"/>
          <w14:textFill>
            <w14:solidFill>
              <w14:schemeClr w14:val="tx1"/>
            </w14:solidFill>
          </w14:textFill>
        </w:rPr>
        <w:t>36.388.445/0001-38</w:t>
      </w:r>
      <w:r>
        <w:rPr>
          <w:rFonts w:ascii="Arial" w:hAnsi="Arial" w:cs="Arial"/>
          <w:color w:val="000000" w:themeColor="text1"/>
          <w:sz w:val="20"/>
          <w:szCs w:val="20"/>
          <w14:textFill>
            <w14:solidFill>
              <w14:schemeClr w14:val="tx1"/>
            </w14:solidFill>
          </w14:textFill>
        </w:rPr>
        <w:t>, neste ato representado(a) pelo</w:t>
      </w:r>
      <w:r>
        <w:rPr>
          <w:rFonts w:hint="default" w:ascii="Arial" w:hAnsi="Arial" w:cs="Arial"/>
          <w:color w:val="000000" w:themeColor="text1"/>
          <w:sz w:val="20"/>
          <w:szCs w:val="20"/>
          <w:lang w:val="pt-BR"/>
          <w14:textFill>
            <w14:solidFill>
              <w14:schemeClr w14:val="tx1"/>
            </w14:solidFill>
          </w14:textFill>
        </w:rPr>
        <w:t xml:space="preserve"> </w:t>
      </w:r>
      <w:r>
        <w:rPr>
          <w:rFonts w:hint="default" w:ascii="Arial" w:hAnsi="Arial"/>
          <w:color w:val="000000" w:themeColor="text1"/>
          <w:sz w:val="20"/>
          <w:szCs w:val="20"/>
          <w:lang w:val="pt-BR"/>
          <w14:textFill>
            <w14:solidFill>
              <w14:schemeClr w14:val="tx1"/>
            </w14:solidFill>
          </w14:textFill>
        </w:rPr>
        <w:t>RONAN ZOCOLOTO SOUZA DUTRA,</w:t>
      </w:r>
      <w:r>
        <w:rPr>
          <w:rFonts w:hint="default" w:ascii="Arial" w:hAnsi="Arial" w:cs="Arial"/>
          <w:color w:val="000000" w:themeColor="text1"/>
          <w:sz w:val="20"/>
          <w:szCs w:val="20"/>
          <w:lang w:val="pt-BR"/>
          <w14:textFill>
            <w14:solidFill>
              <w14:schemeClr w14:val="tx1"/>
            </w14:solidFill>
          </w14:textFill>
        </w:rPr>
        <w:t xml:space="preserve"> Prefeito Municipal</w:t>
      </w:r>
      <w:r>
        <w:rPr>
          <w:rFonts w:ascii="Arial" w:hAnsi="Arial" w:cs="Arial"/>
          <w:color w:val="000000" w:themeColor="text1"/>
          <w:sz w:val="20"/>
          <w:szCs w:val="20"/>
          <w14:textFill>
            <w14:solidFill>
              <w14:schemeClr w14:val="tx1"/>
            </w14:solidFill>
          </w14:textFill>
        </w:rPr>
        <w:t xml:space="preserve"> nomeado</w:t>
      </w:r>
      <w:r>
        <w:rPr>
          <w:rFonts w:hint="default" w:ascii="Arial" w:hAnsi="Arial" w:cs="Arial"/>
          <w:color w:val="000000" w:themeColor="text1"/>
          <w:sz w:val="20"/>
          <w:szCs w:val="20"/>
          <w:lang w:val="pt-BR"/>
          <w14:textFill>
            <w14:solidFill>
              <w14:schemeClr w14:val="tx1"/>
            </w14:solidFill>
          </w14:textFill>
        </w:rPr>
        <w:t xml:space="preserve"> </w:t>
      </w:r>
      <w:r>
        <w:rPr>
          <w:rFonts w:ascii="Arial" w:hAnsi="Arial" w:cs="Arial"/>
          <w:color w:val="000000" w:themeColor="text1"/>
          <w:sz w:val="20"/>
          <w:szCs w:val="20"/>
          <w14:textFill>
            <w14:solidFill>
              <w14:schemeClr w14:val="tx1"/>
            </w14:solidFill>
          </w14:textFill>
        </w:rPr>
        <w:t xml:space="preserve">pela  Portaria nº ...... de ..... de ...... de 202..., publicada no ....... de ..... de ....... de ....., portador da matrícula funcional nº </w:t>
      </w:r>
      <w:r>
        <w:rPr>
          <w:rFonts w:hint="default" w:ascii="Arial" w:hAnsi="Arial" w:cs="Arial"/>
          <w:color w:val="000000" w:themeColor="text1"/>
          <w:sz w:val="20"/>
          <w:szCs w:val="20"/>
          <w:lang w:val="pt-BR"/>
          <w14:textFill>
            <w14:solidFill>
              <w14:schemeClr w14:val="tx1"/>
            </w14:solidFill>
          </w14:textFill>
        </w:rPr>
        <w:t>1517,</w:t>
      </w:r>
      <w:r>
        <w:rPr>
          <w:rFonts w:ascii="Arial" w:hAnsi="Arial" w:cs="Arial"/>
          <w:color w:val="000000" w:themeColor="text1"/>
          <w:sz w:val="20"/>
          <w:szCs w:val="20"/>
          <w14:textFill>
            <w14:solidFill>
              <w14:schemeClr w14:val="tx1"/>
            </w14:solidFill>
          </w14:textFill>
        </w:rPr>
        <w:t xml:space="preserve"> considerando o julgamento da licitação na modalidade de pregão, na forma eletrônica, para REGISTRO DE PREÇOS nº ......./202</w:t>
      </w:r>
      <w:r>
        <w:rPr>
          <w:rFonts w:hint="default" w:ascii="Arial" w:hAnsi="Arial" w:cs="Arial"/>
          <w:color w:val="000000" w:themeColor="text1"/>
          <w:sz w:val="20"/>
          <w:szCs w:val="20"/>
          <w:lang w:val="pt-BR"/>
          <w14:textFill>
            <w14:solidFill>
              <w14:schemeClr w14:val="tx1"/>
            </w14:solidFill>
          </w14:textFill>
        </w:rPr>
        <w:t>5</w:t>
      </w:r>
      <w:r>
        <w:rPr>
          <w:rFonts w:ascii="Arial" w:hAnsi="Arial" w:cs="Arial"/>
          <w:color w:val="000000" w:themeColor="text1"/>
          <w:sz w:val="20"/>
          <w:szCs w:val="20"/>
          <w14:textFill>
            <w14:solidFill>
              <w14:schemeClr w14:val="tx1"/>
            </w14:solidFill>
          </w14:textFill>
        </w:rPr>
        <w:t>, publicada no ...... de ...../...../20</w:t>
      </w:r>
      <w:r>
        <w:rPr>
          <w:rFonts w:hint="default" w:ascii="Arial" w:hAnsi="Arial" w:cs="Arial"/>
          <w:color w:val="000000" w:themeColor="text1"/>
          <w:sz w:val="20"/>
          <w:szCs w:val="20"/>
          <w:lang w:val="pt-BR"/>
          <w14:textFill>
            <w14:solidFill>
              <w14:schemeClr w14:val="tx1"/>
            </w14:solidFill>
          </w14:textFill>
        </w:rPr>
        <w:t>25</w:t>
      </w:r>
      <w:r>
        <w:rPr>
          <w:rFonts w:ascii="Arial" w:hAnsi="Arial" w:cs="Arial"/>
          <w:color w:val="000000" w:themeColor="text1"/>
          <w:sz w:val="20"/>
          <w:szCs w:val="20"/>
          <w14:textFill>
            <w14:solidFill>
              <w14:schemeClr w14:val="tx1"/>
            </w14:solidFill>
          </w14:textFill>
        </w:rPr>
        <w:t xml:space="preserve">, processo administrativo n.º </w:t>
      </w:r>
      <w:r>
        <w:rPr>
          <w:rFonts w:hint="default" w:ascii="Arial" w:hAnsi="Arial" w:cs="Arial"/>
          <w:color w:val="000000" w:themeColor="text1"/>
          <w:sz w:val="20"/>
          <w:szCs w:val="20"/>
          <w:lang w:val="pt-BR"/>
          <w14:textFill>
            <w14:solidFill>
              <w14:schemeClr w14:val="tx1"/>
            </w14:solidFill>
          </w14:textFill>
        </w:rPr>
        <w:t>10627/2024</w:t>
      </w:r>
      <w:r>
        <w:rPr>
          <w:rFonts w:ascii="Arial" w:hAnsi="Arial" w:cs="Arial"/>
          <w:color w:val="000000" w:themeColor="text1"/>
          <w:sz w:val="20"/>
          <w:szCs w:val="20"/>
          <w14:textFill>
            <w14:solidFill>
              <w14:schemeClr w14:val="tx1"/>
            </w14:solidFill>
          </w14:textFill>
        </w:rPr>
        <w:t xml:space="preserve"> RESOLVE registrar os preços da(s)  empresa(s) indicada(s) e qualificada(s) nesta ATA, de acordo com a classificação por ela(s) alcançada(s) e na(s)  quantidade(s)  cotada(s), atendendo as condições previstas no Edital de licitação</w:t>
      </w:r>
      <w:r>
        <w:rPr>
          <w:rFonts w:hint="default" w:ascii="Arial" w:hAnsi="Arial" w:cs="Arial"/>
          <w:color w:val="000000" w:themeColor="text1"/>
          <w:sz w:val="20"/>
          <w:szCs w:val="20"/>
          <w:lang w:val="pt-BR"/>
          <w14:textFill>
            <w14:solidFill>
              <w14:schemeClr w14:val="tx1"/>
            </w14:solidFill>
          </w14:textFill>
        </w:rPr>
        <w:t>,</w:t>
      </w:r>
      <w:r>
        <w:rPr>
          <w:rFonts w:ascii="Arial" w:hAnsi="Arial" w:cs="Arial"/>
          <w:color w:val="000000" w:themeColor="text1"/>
          <w:sz w:val="20"/>
          <w:szCs w:val="20"/>
          <w14:textFill>
            <w14:solidFill>
              <w14:schemeClr w14:val="tx1"/>
            </w14:solidFill>
          </w14:textFill>
        </w:rPr>
        <w:t xml:space="preserve"> sujeitando-se as partes às normas constantes na Lei nº 14.133, de 1º de abril de 2021, no Decreto n.º 359/2023, e em conformidade com as disposições a seguir:</w:t>
      </w:r>
    </w:p>
    <w:p w14:paraId="4117DE3C">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DO OBJETO</w:t>
      </w:r>
    </w:p>
    <w:p w14:paraId="567207E3">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A presente Ata tem por objeto o registro de preços para a eventual contratação de </w:t>
      </w:r>
      <w:r>
        <w:rPr>
          <w:rFonts w:hint="default"/>
          <w:color w:val="000000" w:themeColor="text1"/>
          <w:lang w:val="pt-BR"/>
          <w14:textFill>
            <w14:solidFill>
              <w14:schemeClr w14:val="tx1"/>
            </w14:solidFill>
          </w14:textFill>
        </w:rPr>
        <w:t>material de consumo</w:t>
      </w:r>
      <w:r>
        <w:rPr>
          <w:color w:val="000000" w:themeColor="text1"/>
          <w14:textFill>
            <w14:solidFill>
              <w14:schemeClr w14:val="tx1"/>
            </w14:solidFill>
          </w14:textFill>
        </w:rPr>
        <w:t>, especificado</w:t>
      </w:r>
      <w:r>
        <w:rPr>
          <w:rFonts w:hint="default"/>
          <w:color w:val="000000" w:themeColor="text1"/>
          <w:lang w:val="pt-BR"/>
          <w14:textFill>
            <w14:solidFill>
              <w14:schemeClr w14:val="tx1"/>
            </w14:solidFill>
          </w14:textFill>
        </w:rPr>
        <w:t>s</w:t>
      </w:r>
      <w:r>
        <w:rPr>
          <w:color w:val="000000" w:themeColor="text1"/>
          <w14:textFill>
            <w14:solidFill>
              <w14:schemeClr w14:val="tx1"/>
            </w14:solidFill>
          </w14:textFill>
        </w:rPr>
        <w:t xml:space="preserve"> </w:t>
      </w:r>
      <w:r>
        <w:rPr>
          <w:rFonts w:hint="default"/>
          <w:color w:val="000000" w:themeColor="text1"/>
          <w:lang w:val="pt-BR"/>
          <w14:textFill>
            <w14:solidFill>
              <w14:schemeClr w14:val="tx1"/>
            </w14:solidFill>
          </w14:textFill>
        </w:rPr>
        <w:t xml:space="preserve">no ANEXO I do </w:t>
      </w:r>
      <w:r>
        <w:rPr>
          <w:color w:val="000000" w:themeColor="text1"/>
          <w14:textFill>
            <w14:solidFill>
              <w14:schemeClr w14:val="tx1"/>
            </w14:solidFill>
          </w14:textFill>
        </w:rPr>
        <w:t xml:space="preserve">Termo de Referência, anexo </w:t>
      </w:r>
      <w:r>
        <w:rPr>
          <w:rFonts w:hint="default"/>
          <w:color w:val="000000" w:themeColor="text1"/>
          <w:lang w:val="pt-BR"/>
          <w14:textFill>
            <w14:solidFill>
              <w14:schemeClr w14:val="tx1"/>
            </w14:solidFill>
          </w14:textFill>
        </w:rPr>
        <w:t>04</w:t>
      </w:r>
      <w:r>
        <w:rPr>
          <w:color w:val="000000" w:themeColor="text1"/>
          <w14:textFill>
            <w14:solidFill>
              <w14:schemeClr w14:val="tx1"/>
            </w14:solidFill>
          </w14:textFill>
        </w:rPr>
        <w:t xml:space="preserve"> do edital de Licitação nº ........../20</w:t>
      </w:r>
      <w:r>
        <w:rPr>
          <w:rFonts w:hint="default"/>
          <w:color w:val="000000" w:themeColor="text1"/>
          <w:lang w:val="pt-BR"/>
          <w14:textFill>
            <w14:solidFill>
              <w14:schemeClr w14:val="tx1"/>
            </w14:solidFill>
          </w14:textFill>
        </w:rPr>
        <w:t>25</w:t>
      </w:r>
      <w:r>
        <w:rPr>
          <w:color w:val="000000" w:themeColor="text1"/>
          <w14:textFill>
            <w14:solidFill>
              <w14:schemeClr w14:val="tx1"/>
            </w14:solidFill>
          </w14:textFill>
        </w:rPr>
        <w:t xml:space="preserve"> que é parte integrante desta Ata, assim como as propostas cujos preços tenham sido registrados, independentemente de transcrição.</w:t>
      </w:r>
    </w:p>
    <w:p w14:paraId="40AB85D8">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DOS PREÇOS, ESPECIFICAÇÕES E QUANTITATIVOS</w:t>
      </w:r>
    </w:p>
    <w:p w14:paraId="562FCBB4">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O preço registrado, as especificações do objeto, as quantidades mínimas e máximas de cada item, fornecedor(es) e as demais condições ofertadas na(s) proposta(s) são as que seguem:</w:t>
      </w:r>
    </w:p>
    <w:tbl>
      <w:tblPr>
        <w:tblStyle w:val="4"/>
        <w:tblpPr w:leftFromText="180" w:rightFromText="180" w:vertAnchor="text" w:horzAnchor="page" w:tblpX="1689" w:tblpY="268"/>
        <w:tblOverlap w:val="never"/>
        <w:tblW w:w="518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5"/>
        <w:gridCol w:w="1737"/>
        <w:gridCol w:w="1050"/>
        <w:gridCol w:w="1096"/>
        <w:gridCol w:w="1434"/>
        <w:gridCol w:w="1383"/>
        <w:gridCol w:w="954"/>
        <w:gridCol w:w="1316"/>
      </w:tblGrid>
      <w:tr w14:paraId="6D827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34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C10A9E6">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ITEM DO TR</w:t>
            </w:r>
          </w:p>
        </w:tc>
        <w:tc>
          <w:tcPr>
            <w:tcW w:w="901"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D66CB5E">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ESPECIFICAÇÃO</w:t>
            </w:r>
          </w:p>
        </w:tc>
        <w:tc>
          <w:tcPr>
            <w:tcW w:w="54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3CE8B6FF">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CÓDIGO INTERNO</w:t>
            </w:r>
          </w:p>
        </w:tc>
        <w:tc>
          <w:tcPr>
            <w:tcW w:w="568" w:type="pct"/>
            <w:tcBorders>
              <w:top w:val="single" w:color="000000" w:sz="2" w:space="0"/>
              <w:left w:val="single" w:color="000000" w:sz="2" w:space="0"/>
              <w:bottom w:val="single" w:color="000000" w:sz="2" w:space="0"/>
              <w:right w:val="single" w:color="000000" w:sz="2" w:space="0"/>
            </w:tcBorders>
            <w:shd w:val="clear" w:color="auto" w:fill="auto"/>
            <w:vAlign w:val="center"/>
          </w:tcPr>
          <w:p w14:paraId="7F2B54AD">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UNIDADE</w:t>
            </w:r>
          </w:p>
        </w:tc>
        <w:tc>
          <w:tcPr>
            <w:tcW w:w="744"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DB989E2">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QUANTIDADE MÁXIMA</w:t>
            </w:r>
          </w:p>
        </w:tc>
        <w:tc>
          <w:tcPr>
            <w:tcW w:w="717"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951F63D">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QUANTIDADE MÍMINA</w:t>
            </w:r>
          </w:p>
        </w:tc>
        <w:tc>
          <w:tcPr>
            <w:tcW w:w="49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1B0D59E">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VALOR UN</w:t>
            </w: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2648FED">
            <w:pPr>
              <w:keepNext w:val="0"/>
              <w:keepLines w:val="0"/>
              <w:widowControl/>
              <w:suppressLineNumbers w:val="0"/>
              <w:jc w:val="center"/>
              <w:textAlignment w:val="center"/>
              <w:rPr>
                <w:rFonts w:hint="default" w:ascii="Calibri" w:hAnsi="Calibri" w:cs="Calibri"/>
                <w:b w:val="0"/>
                <w:bCs w:val="0"/>
                <w:i w:val="0"/>
                <w:iCs w:val="0"/>
                <w:color w:val="000000"/>
                <w:sz w:val="20"/>
                <w:szCs w:val="20"/>
                <w:u w:val="none"/>
              </w:rPr>
            </w:pPr>
            <w:r>
              <w:rPr>
                <w:rFonts w:hint="default" w:ascii="Calibri" w:hAnsi="Calibri" w:eastAsia="SimSun" w:cs="Calibri"/>
                <w:b w:val="0"/>
                <w:bCs w:val="0"/>
                <w:i w:val="0"/>
                <w:iCs w:val="0"/>
                <w:color w:val="000000"/>
                <w:kern w:val="0"/>
                <w:sz w:val="20"/>
                <w:szCs w:val="20"/>
                <w:u w:val="none"/>
                <w:lang w:val="en-US" w:eastAsia="zh-CN" w:bidi="ar"/>
              </w:rPr>
              <w:t>VALIDADE</w:t>
            </w:r>
          </w:p>
        </w:tc>
      </w:tr>
      <w:tr w14:paraId="0E0AE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4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D36EA5E">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1</w:t>
            </w:r>
          </w:p>
        </w:tc>
        <w:tc>
          <w:tcPr>
            <w:tcW w:w="1737" w:type="dxa"/>
            <w:tcBorders>
              <w:top w:val="single" w:color="000000" w:sz="2" w:space="0"/>
              <w:left w:val="single" w:color="000000" w:sz="2" w:space="0"/>
              <w:bottom w:val="single" w:color="000000" w:sz="2" w:space="0"/>
              <w:right w:val="single" w:color="000000" w:sz="2" w:space="0"/>
            </w:tcBorders>
            <w:shd w:val="clear" w:color="auto" w:fill="auto"/>
            <w:vAlign w:val="top"/>
          </w:tcPr>
          <w:p w14:paraId="21F286A5">
            <w:pPr>
              <w:keepNext w:val="0"/>
              <w:keepLines w:val="0"/>
              <w:widowControl/>
              <w:suppressLineNumbers w:val="0"/>
              <w:jc w:val="left"/>
              <w:textAlignment w:val="top"/>
              <w:rPr>
                <w:rFonts w:hint="default" w:ascii="Calibri" w:hAnsi="Calibri" w:cs="Calibri"/>
                <w:i w:val="0"/>
                <w:iCs w:val="0"/>
                <w:color w:val="000000"/>
                <w:sz w:val="20"/>
                <w:szCs w:val="20"/>
                <w:u w:val="none"/>
              </w:rPr>
            </w:pPr>
            <w:r>
              <w:rPr>
                <w:rFonts w:hint="default" w:ascii="Calibri" w:hAnsi="Calibri" w:eastAsia="SimSun" w:cs="Calibri"/>
                <w:b/>
                <w:bCs/>
                <w:i w:val="0"/>
                <w:iCs w:val="0"/>
                <w:color w:val="000000"/>
                <w:kern w:val="0"/>
                <w:sz w:val="20"/>
                <w:szCs w:val="20"/>
                <w:u w:val="none"/>
                <w:lang w:val="en-US" w:eastAsia="zh-CN" w:bidi="ar"/>
              </w:rPr>
              <w:t>COLCHAO CASAL DE ESPUMA D20 (00053351)</w:t>
            </w:r>
            <w:r>
              <w:rPr>
                <w:rFonts w:hint="default" w:ascii="Calibri" w:hAnsi="Calibri" w:eastAsia="SimSun" w:cs="Calibri"/>
                <w:b/>
                <w:bCs/>
                <w:i w:val="0"/>
                <w:iCs w:val="0"/>
                <w:color w:val="000000"/>
                <w:kern w:val="0"/>
                <w:sz w:val="20"/>
                <w:szCs w:val="20"/>
                <w:u w:val="none"/>
                <w:lang w:val="en-US" w:eastAsia="zh-CN" w:bidi="ar"/>
              </w:rPr>
              <w:br w:type="textWrapping"/>
            </w:r>
            <w:r>
              <w:rPr>
                <w:rFonts w:hint="default" w:ascii="Calibri" w:hAnsi="Calibri" w:eastAsia="SimSun" w:cs="Calibri"/>
                <w:i w:val="0"/>
                <w:iCs w:val="0"/>
                <w:color w:val="000000"/>
                <w:kern w:val="0"/>
                <w:sz w:val="20"/>
                <w:szCs w:val="20"/>
                <w:u w:val="none"/>
                <w:lang w:val="en-US" w:eastAsia="zh-CN" w:bidi="ar"/>
              </w:rPr>
              <w:t>produzido com espuma depoliuretano de alta qualidade; tratamento antialergico, anti-acaros e anti-fungos;tamanho minimo de 130 x 188 x 12cm;</w:t>
            </w:r>
            <w:bookmarkStart w:id="12" w:name="_GoBack"/>
            <w:r>
              <w:rPr>
                <w:rFonts w:hint="default" w:ascii="Calibri" w:hAnsi="Calibri" w:eastAsia="SimSun" w:cs="Calibri"/>
                <w:b w:val="0"/>
                <w:bCs w:val="0"/>
                <w:i w:val="0"/>
                <w:iCs w:val="0"/>
                <w:color w:val="000000"/>
                <w:kern w:val="0"/>
                <w:sz w:val="20"/>
                <w:szCs w:val="20"/>
                <w:u w:val="none"/>
                <w:lang w:val="en-US" w:eastAsia="zh-CN" w:bidi="ar"/>
              </w:rPr>
              <w:t xml:space="preserve"> com selo de qualidade do INMETRO</w:t>
            </w:r>
            <w:bookmarkEnd w:id="12"/>
          </w:p>
        </w:tc>
        <w:tc>
          <w:tcPr>
            <w:tcW w:w="105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CEA85BA">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53351 </w:t>
            </w:r>
          </w:p>
        </w:tc>
        <w:tc>
          <w:tcPr>
            <w:tcW w:w="109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579AED6">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Unidade</w:t>
            </w:r>
          </w:p>
        </w:tc>
        <w:tc>
          <w:tcPr>
            <w:tcW w:w="14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69B18DD">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100 </w:t>
            </w:r>
          </w:p>
        </w:tc>
        <w:tc>
          <w:tcPr>
            <w:tcW w:w="138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4F6F69E">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25 </w:t>
            </w:r>
          </w:p>
        </w:tc>
        <w:tc>
          <w:tcPr>
            <w:tcW w:w="49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68AAF39">
            <w:pPr>
              <w:jc w:val="center"/>
              <w:rPr>
                <w:rFonts w:hint="default" w:ascii="Calibri" w:hAnsi="Calibri" w:cs="Calibri"/>
                <w:i w:val="0"/>
                <w:iCs w:val="0"/>
                <w:color w:val="000000"/>
                <w:sz w:val="20"/>
                <w:szCs w:val="20"/>
                <w:u w:val="none"/>
              </w:rPr>
            </w:pP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07C60C0">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Conforme especificação</w:t>
            </w:r>
          </w:p>
        </w:tc>
      </w:tr>
      <w:tr w14:paraId="1A2D9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4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B0A871F">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2</w:t>
            </w:r>
          </w:p>
        </w:tc>
        <w:tc>
          <w:tcPr>
            <w:tcW w:w="1737" w:type="dxa"/>
            <w:tcBorders>
              <w:top w:val="single" w:color="000000" w:sz="2" w:space="0"/>
              <w:left w:val="single" w:color="000000" w:sz="2" w:space="0"/>
              <w:bottom w:val="single" w:color="000000" w:sz="2" w:space="0"/>
              <w:right w:val="single" w:color="000000" w:sz="2" w:space="0"/>
            </w:tcBorders>
            <w:shd w:val="clear" w:color="auto" w:fill="auto"/>
            <w:vAlign w:val="top"/>
          </w:tcPr>
          <w:p w14:paraId="7C11F25B">
            <w:pPr>
              <w:keepNext w:val="0"/>
              <w:keepLines w:val="0"/>
              <w:widowControl/>
              <w:suppressLineNumbers w:val="0"/>
              <w:jc w:val="left"/>
              <w:textAlignment w:val="top"/>
              <w:rPr>
                <w:rFonts w:hint="default" w:ascii="Calibri" w:hAnsi="Calibri" w:cs="Calibri"/>
                <w:i w:val="0"/>
                <w:iCs w:val="0"/>
                <w:color w:val="000000"/>
                <w:sz w:val="20"/>
                <w:szCs w:val="20"/>
                <w:u w:val="none"/>
              </w:rPr>
            </w:pPr>
            <w:r>
              <w:rPr>
                <w:rFonts w:hint="default" w:ascii="Calibri" w:hAnsi="Calibri" w:eastAsia="SimSun" w:cs="Calibri"/>
                <w:b/>
                <w:bCs/>
                <w:i w:val="0"/>
                <w:iCs w:val="0"/>
                <w:color w:val="000000"/>
                <w:kern w:val="0"/>
                <w:sz w:val="20"/>
                <w:szCs w:val="20"/>
                <w:u w:val="none"/>
                <w:lang w:val="en-US" w:eastAsia="zh-CN" w:bidi="ar"/>
              </w:rPr>
              <w:t>COLCHAO SOLTEIRO DE ESPUMA D20 (00053350)</w:t>
            </w:r>
            <w:r>
              <w:rPr>
                <w:rFonts w:hint="default" w:ascii="Calibri" w:hAnsi="Calibri" w:eastAsia="SimSun" w:cs="Calibri"/>
                <w:b/>
                <w:bCs/>
                <w:i w:val="0"/>
                <w:iCs w:val="0"/>
                <w:color w:val="000000"/>
                <w:kern w:val="0"/>
                <w:sz w:val="20"/>
                <w:szCs w:val="20"/>
                <w:u w:val="none"/>
                <w:lang w:val="en-US" w:eastAsia="zh-CN" w:bidi="ar"/>
              </w:rPr>
              <w:br w:type="textWrapping"/>
            </w:r>
            <w:r>
              <w:rPr>
                <w:rFonts w:hint="default" w:ascii="Calibri" w:hAnsi="Calibri" w:eastAsia="SimSun" w:cs="Calibri"/>
                <w:i w:val="0"/>
                <w:iCs w:val="0"/>
                <w:color w:val="000000"/>
                <w:kern w:val="0"/>
                <w:sz w:val="20"/>
                <w:szCs w:val="20"/>
                <w:u w:val="none"/>
                <w:lang w:val="en-US" w:eastAsia="zh-CN" w:bidi="ar"/>
              </w:rPr>
              <w:t>produzido com espuma depoliuretano de alta qualidade; tratamento antialergico, anti-acaros e anti-fungos;tamanho minimo de 88 x 188 x 12cm; com selo de qualidade do INMETRO</w:t>
            </w:r>
          </w:p>
        </w:tc>
        <w:tc>
          <w:tcPr>
            <w:tcW w:w="105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E397B7F">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53350 </w:t>
            </w:r>
          </w:p>
        </w:tc>
        <w:tc>
          <w:tcPr>
            <w:tcW w:w="109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2D00014">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Unidade</w:t>
            </w:r>
          </w:p>
        </w:tc>
        <w:tc>
          <w:tcPr>
            <w:tcW w:w="14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993E5CB">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220 </w:t>
            </w:r>
          </w:p>
        </w:tc>
        <w:tc>
          <w:tcPr>
            <w:tcW w:w="138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F55C655">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55 </w:t>
            </w:r>
          </w:p>
        </w:tc>
        <w:tc>
          <w:tcPr>
            <w:tcW w:w="49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5CDD0D0">
            <w:pPr>
              <w:jc w:val="center"/>
              <w:rPr>
                <w:rFonts w:hint="default" w:ascii="Calibri" w:hAnsi="Calibri" w:cs="Calibri"/>
                <w:i w:val="0"/>
                <w:iCs w:val="0"/>
                <w:color w:val="000000"/>
                <w:sz w:val="20"/>
                <w:szCs w:val="20"/>
                <w:u w:val="none"/>
              </w:rPr>
            </w:pP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A73F877">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Conforme especificação</w:t>
            </w:r>
          </w:p>
        </w:tc>
      </w:tr>
      <w:tr w14:paraId="77995F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4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627A226">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3</w:t>
            </w:r>
          </w:p>
        </w:tc>
        <w:tc>
          <w:tcPr>
            <w:tcW w:w="1737" w:type="dxa"/>
            <w:tcBorders>
              <w:top w:val="single" w:color="000000" w:sz="2" w:space="0"/>
              <w:left w:val="single" w:color="000000" w:sz="2" w:space="0"/>
              <w:bottom w:val="single" w:color="000000" w:sz="2" w:space="0"/>
              <w:right w:val="single" w:color="000000" w:sz="2" w:space="0"/>
            </w:tcBorders>
            <w:shd w:val="clear" w:color="auto" w:fill="auto"/>
            <w:vAlign w:val="top"/>
          </w:tcPr>
          <w:p w14:paraId="2A16F1BB">
            <w:pPr>
              <w:keepNext w:val="0"/>
              <w:keepLines w:val="0"/>
              <w:widowControl/>
              <w:suppressLineNumbers w:val="0"/>
              <w:jc w:val="left"/>
              <w:textAlignment w:val="top"/>
              <w:rPr>
                <w:rFonts w:hint="default" w:ascii="Calibri" w:hAnsi="Calibri" w:cs="Calibri"/>
                <w:i w:val="0"/>
                <w:iCs w:val="0"/>
                <w:color w:val="000000"/>
                <w:sz w:val="20"/>
                <w:szCs w:val="20"/>
                <w:u w:val="none"/>
              </w:rPr>
            </w:pPr>
            <w:r>
              <w:rPr>
                <w:rFonts w:hint="default" w:ascii="Calibri" w:hAnsi="Calibri" w:eastAsia="SimSun" w:cs="Calibri"/>
                <w:b/>
                <w:bCs/>
                <w:i w:val="0"/>
                <w:iCs w:val="0"/>
                <w:color w:val="000000"/>
                <w:kern w:val="0"/>
                <w:sz w:val="20"/>
                <w:szCs w:val="20"/>
                <w:u w:val="none"/>
                <w:lang w:val="en-US" w:eastAsia="zh-CN" w:bidi="ar"/>
              </w:rPr>
              <w:t>EDREDON  TIPO  CASAL</w:t>
            </w:r>
            <w:r>
              <w:rPr>
                <w:rFonts w:hint="default" w:ascii="Calibri" w:hAnsi="Calibri" w:eastAsia="SimSun" w:cs="Calibri"/>
                <w:b/>
                <w:bCs/>
                <w:i w:val="0"/>
                <w:iCs w:val="0"/>
                <w:color w:val="000000"/>
                <w:kern w:val="0"/>
                <w:sz w:val="20"/>
                <w:szCs w:val="20"/>
                <w:u w:val="none"/>
                <w:lang w:val="en-US" w:eastAsia="zh-CN" w:bidi="ar"/>
              </w:rPr>
              <w:br w:type="textWrapping"/>
            </w:r>
            <w:r>
              <w:rPr>
                <w:rFonts w:hint="default" w:ascii="Calibri" w:hAnsi="Calibri" w:eastAsia="SimSun" w:cs="Calibri"/>
                <w:i w:val="0"/>
                <w:iCs w:val="0"/>
                <w:color w:val="000000"/>
                <w:kern w:val="0"/>
                <w:sz w:val="20"/>
                <w:szCs w:val="20"/>
                <w:u w:val="none"/>
                <w:lang w:val="en-US" w:eastAsia="zh-CN" w:bidi="ar"/>
              </w:rPr>
              <w:t>Composição  100%  algodao;  com  enchimento  100%poliester; percal 200 fios; dupla face; tamanho aproximado 2m largura x 2,20mcomprimento; cores variadas</w:t>
            </w:r>
          </w:p>
        </w:tc>
        <w:tc>
          <w:tcPr>
            <w:tcW w:w="105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839ED20">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51825 </w:t>
            </w:r>
          </w:p>
        </w:tc>
        <w:tc>
          <w:tcPr>
            <w:tcW w:w="109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0CF2ADC">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Unidade</w:t>
            </w:r>
          </w:p>
        </w:tc>
        <w:tc>
          <w:tcPr>
            <w:tcW w:w="14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5EB2D358">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4 </w:t>
            </w:r>
          </w:p>
        </w:tc>
        <w:tc>
          <w:tcPr>
            <w:tcW w:w="138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4D46B21">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1 </w:t>
            </w:r>
          </w:p>
        </w:tc>
        <w:tc>
          <w:tcPr>
            <w:tcW w:w="49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47F29E70">
            <w:pPr>
              <w:jc w:val="center"/>
              <w:rPr>
                <w:rFonts w:hint="default" w:ascii="Calibri" w:hAnsi="Calibri" w:cs="Calibri"/>
                <w:i w:val="0"/>
                <w:iCs w:val="0"/>
                <w:color w:val="000000"/>
                <w:sz w:val="20"/>
                <w:szCs w:val="20"/>
                <w:u w:val="none"/>
              </w:rPr>
            </w:pP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1ADF1A42">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Conforme especificação</w:t>
            </w:r>
          </w:p>
        </w:tc>
      </w:tr>
      <w:tr w14:paraId="30FE5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34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6F5C6CA">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4</w:t>
            </w:r>
          </w:p>
        </w:tc>
        <w:tc>
          <w:tcPr>
            <w:tcW w:w="1737"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F22E2BB">
            <w:pPr>
              <w:keepNext w:val="0"/>
              <w:keepLines w:val="0"/>
              <w:widowControl/>
              <w:suppressLineNumbers w:val="0"/>
              <w:jc w:val="left"/>
              <w:textAlignment w:val="center"/>
              <w:rPr>
                <w:rFonts w:hint="default" w:ascii="Calibri" w:hAnsi="Calibri" w:cs="Calibri"/>
                <w:i w:val="0"/>
                <w:iCs w:val="0"/>
                <w:color w:val="000000"/>
                <w:sz w:val="20"/>
                <w:szCs w:val="20"/>
                <w:u w:val="none"/>
              </w:rPr>
            </w:pPr>
            <w:r>
              <w:rPr>
                <w:rFonts w:hint="default" w:ascii="Calibri" w:hAnsi="Calibri" w:eastAsia="SimSun" w:cs="Calibri"/>
                <w:b/>
                <w:bCs/>
                <w:i w:val="0"/>
                <w:iCs w:val="0"/>
                <w:color w:val="000000"/>
                <w:kern w:val="0"/>
                <w:sz w:val="20"/>
                <w:szCs w:val="20"/>
                <w:u w:val="none"/>
                <w:lang w:val="en-US" w:eastAsia="zh-CN" w:bidi="ar"/>
              </w:rPr>
              <w:t>EDREDON TIPO SOLTEIRO</w:t>
            </w:r>
            <w:r>
              <w:rPr>
                <w:rFonts w:hint="default" w:ascii="Calibri" w:hAnsi="Calibri" w:eastAsia="SimSun" w:cs="Calibri"/>
                <w:b/>
                <w:bCs/>
                <w:i w:val="0"/>
                <w:iCs w:val="0"/>
                <w:color w:val="000000"/>
                <w:kern w:val="0"/>
                <w:sz w:val="20"/>
                <w:szCs w:val="20"/>
                <w:u w:val="none"/>
                <w:lang w:val="en-US" w:eastAsia="zh-CN" w:bidi="ar"/>
              </w:rPr>
              <w:br w:type="textWrapping"/>
            </w:r>
            <w:r>
              <w:rPr>
                <w:rFonts w:hint="default" w:ascii="Calibri" w:hAnsi="Calibri" w:eastAsia="SimSun" w:cs="Calibri"/>
                <w:i w:val="0"/>
                <w:iCs w:val="0"/>
                <w:color w:val="000000"/>
                <w:kern w:val="0"/>
                <w:sz w:val="20"/>
                <w:szCs w:val="20"/>
                <w:u w:val="none"/>
                <w:lang w:val="en-US" w:eastAsia="zh-CN" w:bidi="ar"/>
              </w:rPr>
              <w:t>composição 100% algodao; com enchimento 100%poliester; percal 200 fios; dupla face; tamanho aproximado 1,50m largura x 2,20mcomprimento; cores variadas</w:t>
            </w:r>
          </w:p>
        </w:tc>
        <w:tc>
          <w:tcPr>
            <w:tcW w:w="105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C843B55">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51826 </w:t>
            </w:r>
          </w:p>
        </w:tc>
        <w:tc>
          <w:tcPr>
            <w:tcW w:w="109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41B8064">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Unidade</w:t>
            </w:r>
          </w:p>
        </w:tc>
        <w:tc>
          <w:tcPr>
            <w:tcW w:w="14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192F5A6">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30 </w:t>
            </w:r>
          </w:p>
        </w:tc>
        <w:tc>
          <w:tcPr>
            <w:tcW w:w="138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1C66372A">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8 </w:t>
            </w:r>
          </w:p>
        </w:tc>
        <w:tc>
          <w:tcPr>
            <w:tcW w:w="49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23853A30">
            <w:pPr>
              <w:jc w:val="center"/>
              <w:rPr>
                <w:rFonts w:hint="default" w:ascii="Calibri" w:hAnsi="Calibri" w:cs="Calibri"/>
                <w:i w:val="0"/>
                <w:iCs w:val="0"/>
                <w:color w:val="000000"/>
                <w:sz w:val="20"/>
                <w:szCs w:val="20"/>
                <w:u w:val="none"/>
              </w:rPr>
            </w:pP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A7D40D0">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Conforme especificação</w:t>
            </w:r>
          </w:p>
        </w:tc>
      </w:tr>
      <w:tr w14:paraId="1988E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34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662822C9">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5</w:t>
            </w:r>
          </w:p>
        </w:tc>
        <w:tc>
          <w:tcPr>
            <w:tcW w:w="1737" w:type="dxa"/>
            <w:tcBorders>
              <w:top w:val="single" w:color="000000" w:sz="2" w:space="0"/>
              <w:left w:val="single" w:color="000000" w:sz="2" w:space="0"/>
              <w:bottom w:val="single" w:color="000000" w:sz="2" w:space="0"/>
              <w:right w:val="single" w:color="000000" w:sz="2" w:space="0"/>
            </w:tcBorders>
            <w:shd w:val="clear" w:color="auto" w:fill="auto"/>
            <w:vAlign w:val="top"/>
          </w:tcPr>
          <w:p w14:paraId="043E0070">
            <w:pPr>
              <w:keepNext w:val="0"/>
              <w:keepLines w:val="0"/>
              <w:widowControl/>
              <w:suppressLineNumbers w:val="0"/>
              <w:jc w:val="left"/>
              <w:textAlignment w:val="top"/>
              <w:rPr>
                <w:rFonts w:hint="default" w:ascii="Calibri" w:hAnsi="Calibri" w:cs="Calibri"/>
                <w:i w:val="0"/>
                <w:iCs w:val="0"/>
                <w:color w:val="000000"/>
                <w:sz w:val="20"/>
                <w:szCs w:val="20"/>
                <w:u w:val="none"/>
              </w:rPr>
            </w:pPr>
            <w:r>
              <w:rPr>
                <w:rFonts w:hint="default" w:ascii="Calibri" w:hAnsi="Calibri" w:eastAsia="SimSun" w:cs="Calibri"/>
                <w:b/>
                <w:bCs/>
                <w:i w:val="0"/>
                <w:iCs w:val="0"/>
                <w:color w:val="000000"/>
                <w:kern w:val="0"/>
                <w:sz w:val="20"/>
                <w:szCs w:val="20"/>
                <w:u w:val="none"/>
                <w:lang w:val="en-US" w:eastAsia="zh-CN" w:bidi="ar"/>
              </w:rPr>
              <w:t>MANTA  COBERTOR  CASAL  100%  MICROFIBRA</w:t>
            </w:r>
            <w:r>
              <w:rPr>
                <w:rFonts w:hint="default" w:ascii="Calibri" w:hAnsi="Calibri" w:eastAsia="SimSun" w:cs="Calibri"/>
                <w:b/>
                <w:bCs/>
                <w:i w:val="0"/>
                <w:iCs w:val="0"/>
                <w:color w:val="000000"/>
                <w:kern w:val="0"/>
                <w:sz w:val="20"/>
                <w:szCs w:val="20"/>
                <w:u w:val="none"/>
                <w:lang w:val="en-US" w:eastAsia="zh-CN" w:bidi="ar"/>
              </w:rPr>
              <w:br w:type="textWrapping"/>
            </w:r>
            <w:r>
              <w:rPr>
                <w:rFonts w:hint="default" w:ascii="Calibri" w:hAnsi="Calibri" w:eastAsia="SimSun" w:cs="Calibri"/>
                <w:i w:val="0"/>
                <w:iCs w:val="0"/>
                <w:color w:val="000000"/>
                <w:kern w:val="0"/>
                <w:sz w:val="20"/>
                <w:szCs w:val="20"/>
                <w:u w:val="none"/>
                <w:lang w:val="en-US" w:eastAsia="zh-CN" w:bidi="ar"/>
              </w:rPr>
              <w:t>cores  lisas  variadas;confeccionada  em  microfibra  100%  poliester;  gramatura  minima  de  180gr/m²;tamanho minimo de 220 x 180 cm</w:t>
            </w:r>
          </w:p>
        </w:tc>
        <w:tc>
          <w:tcPr>
            <w:tcW w:w="1050" w:type="dxa"/>
            <w:tcBorders>
              <w:top w:val="single" w:color="000000" w:sz="2" w:space="0"/>
              <w:left w:val="single" w:color="000000" w:sz="2" w:space="0"/>
              <w:bottom w:val="single" w:color="000000" w:sz="2" w:space="0"/>
              <w:right w:val="single" w:color="000000" w:sz="2" w:space="0"/>
            </w:tcBorders>
            <w:shd w:val="clear" w:color="auto" w:fill="auto"/>
            <w:vAlign w:val="center"/>
          </w:tcPr>
          <w:p w14:paraId="32257376">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58492 </w:t>
            </w:r>
          </w:p>
        </w:tc>
        <w:tc>
          <w:tcPr>
            <w:tcW w:w="1096" w:type="dxa"/>
            <w:tcBorders>
              <w:top w:val="single" w:color="000000" w:sz="2" w:space="0"/>
              <w:left w:val="single" w:color="000000" w:sz="2" w:space="0"/>
              <w:bottom w:val="single" w:color="000000" w:sz="2" w:space="0"/>
              <w:right w:val="single" w:color="000000" w:sz="2" w:space="0"/>
            </w:tcBorders>
            <w:shd w:val="clear" w:color="auto" w:fill="auto"/>
            <w:vAlign w:val="center"/>
          </w:tcPr>
          <w:p w14:paraId="28341791">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Unidade</w:t>
            </w:r>
          </w:p>
        </w:tc>
        <w:tc>
          <w:tcPr>
            <w:tcW w:w="1434" w:type="dxa"/>
            <w:tcBorders>
              <w:top w:val="single" w:color="000000" w:sz="2" w:space="0"/>
              <w:left w:val="single" w:color="000000" w:sz="2" w:space="0"/>
              <w:bottom w:val="single" w:color="000000" w:sz="2" w:space="0"/>
              <w:right w:val="single" w:color="000000" w:sz="2" w:space="0"/>
            </w:tcBorders>
            <w:shd w:val="clear" w:color="auto" w:fill="auto"/>
            <w:vAlign w:val="center"/>
          </w:tcPr>
          <w:p w14:paraId="01D8FC99">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600 </w:t>
            </w:r>
          </w:p>
        </w:tc>
        <w:tc>
          <w:tcPr>
            <w:tcW w:w="1383" w:type="dxa"/>
            <w:tcBorders>
              <w:top w:val="single" w:color="000000" w:sz="2" w:space="0"/>
              <w:left w:val="single" w:color="000000" w:sz="2" w:space="0"/>
              <w:bottom w:val="single" w:color="000000" w:sz="2" w:space="0"/>
              <w:right w:val="single" w:color="000000" w:sz="2" w:space="0"/>
            </w:tcBorders>
            <w:shd w:val="clear" w:color="auto" w:fill="auto"/>
            <w:vAlign w:val="center"/>
          </w:tcPr>
          <w:p w14:paraId="6D669D3F">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 xml:space="preserve">150 </w:t>
            </w:r>
          </w:p>
        </w:tc>
        <w:tc>
          <w:tcPr>
            <w:tcW w:w="495" w:type="pct"/>
            <w:tcBorders>
              <w:top w:val="single" w:color="000000" w:sz="2" w:space="0"/>
              <w:left w:val="single" w:color="000000" w:sz="2" w:space="0"/>
              <w:bottom w:val="single" w:color="000000" w:sz="2" w:space="0"/>
              <w:right w:val="single" w:color="000000" w:sz="2" w:space="0"/>
            </w:tcBorders>
            <w:shd w:val="clear" w:color="auto" w:fill="auto"/>
            <w:vAlign w:val="center"/>
          </w:tcPr>
          <w:p w14:paraId="0136915E">
            <w:pPr>
              <w:jc w:val="center"/>
              <w:rPr>
                <w:rFonts w:hint="default" w:ascii="Calibri" w:hAnsi="Calibri" w:cs="Calibri"/>
                <w:i w:val="0"/>
                <w:iCs w:val="0"/>
                <w:color w:val="000000"/>
                <w:sz w:val="20"/>
                <w:szCs w:val="20"/>
                <w:u w:val="none"/>
              </w:rPr>
            </w:pPr>
          </w:p>
        </w:tc>
        <w:tc>
          <w:tcPr>
            <w:tcW w:w="682" w:type="pct"/>
            <w:tcBorders>
              <w:top w:val="single" w:color="000000" w:sz="2" w:space="0"/>
              <w:left w:val="single" w:color="000000" w:sz="2" w:space="0"/>
              <w:bottom w:val="single" w:color="000000" w:sz="2" w:space="0"/>
              <w:right w:val="single" w:color="000000" w:sz="2" w:space="0"/>
            </w:tcBorders>
            <w:shd w:val="clear" w:color="auto" w:fill="auto"/>
            <w:vAlign w:val="center"/>
          </w:tcPr>
          <w:p w14:paraId="5F9EF561">
            <w:pPr>
              <w:keepNext w:val="0"/>
              <w:keepLines w:val="0"/>
              <w:widowControl/>
              <w:suppressLineNumbers w:val="0"/>
              <w:jc w:val="center"/>
              <w:textAlignment w:val="center"/>
              <w:rPr>
                <w:rFonts w:hint="default" w:ascii="Calibri" w:hAnsi="Calibri" w:cs="Calibri"/>
                <w:i w:val="0"/>
                <w:iCs w:val="0"/>
                <w:color w:val="000000"/>
                <w:sz w:val="20"/>
                <w:szCs w:val="20"/>
                <w:u w:val="none"/>
              </w:rPr>
            </w:pPr>
            <w:r>
              <w:rPr>
                <w:rFonts w:hint="default" w:ascii="Calibri" w:hAnsi="Calibri" w:eastAsia="SimSun" w:cs="Calibri"/>
                <w:i w:val="0"/>
                <w:iCs w:val="0"/>
                <w:color w:val="000000"/>
                <w:kern w:val="0"/>
                <w:sz w:val="20"/>
                <w:szCs w:val="20"/>
                <w:u w:val="none"/>
                <w:lang w:val="en-US" w:eastAsia="zh-CN" w:bidi="ar"/>
              </w:rPr>
              <w:t>Conforme especificação</w:t>
            </w:r>
          </w:p>
        </w:tc>
      </w:tr>
    </w:tbl>
    <w:p w14:paraId="74521F80">
      <w:pPr>
        <w:rPr>
          <w:color w:val="000000" w:themeColor="text1"/>
          <w14:textFill>
            <w14:solidFill>
              <w14:schemeClr w14:val="tx1"/>
            </w14:solidFill>
          </w14:textFill>
        </w:rPr>
      </w:pPr>
    </w:p>
    <w:p w14:paraId="54ACB7B8">
      <w:pPr>
        <w:pStyle w:val="32"/>
        <w:bidi w:val="0"/>
        <w:ind w:left="0" w:leftChars="0" w:firstLine="0" w:firstLineChars="0"/>
        <w:rPr>
          <w:color w:val="000000" w:themeColor="text1"/>
          <w:lang w:eastAsia="en-US"/>
          <w14:textFill>
            <w14:solidFill>
              <w14:schemeClr w14:val="tx1"/>
            </w14:solidFill>
          </w14:textFill>
        </w:rPr>
      </w:pPr>
      <w:r>
        <w:rPr>
          <w:color w:val="000000" w:themeColor="text1"/>
          <w:lang w:eastAsia="en-US"/>
          <w14:textFill>
            <w14:solidFill>
              <w14:schemeClr w14:val="tx1"/>
            </w14:solidFill>
          </w14:textFill>
        </w:rPr>
        <w:t>A listagem do cadastro de reserva referente ao presente registro de preços consta como anexo a esta Ata.</w:t>
      </w:r>
    </w:p>
    <w:p w14:paraId="08BAEAC1">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ÓRGÃO(S) GERENCIADOR E  PARTICIPANTE(S)</w:t>
      </w:r>
    </w:p>
    <w:p w14:paraId="45EA630E">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 xml:space="preserve">O órgão gerenciador será </w:t>
      </w:r>
      <w:r>
        <w:rPr>
          <w:rFonts w:hint="default"/>
          <w:color w:val="000000" w:themeColor="text1"/>
          <w:lang w:val="pt-BR"/>
          <w14:textFill>
            <w14:solidFill>
              <w14:schemeClr w14:val="tx1"/>
            </w14:solidFill>
          </w14:textFill>
        </w:rPr>
        <w:t>a Prefeitura Municipal de Santa Maria de Jetibá.</w:t>
      </w:r>
    </w:p>
    <w:p w14:paraId="0DDCE2F0">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Além do gerenciador, não há  órgãos e entidades públicas participantes do registro de preços</w:t>
      </w:r>
      <w:r>
        <w:rPr>
          <w:rFonts w:hint="default"/>
          <w:color w:val="000000" w:themeColor="text1"/>
          <w:lang w:val="pt-BR"/>
          <w14:textFill>
            <w14:solidFill>
              <w14:schemeClr w14:val="tx1"/>
            </w14:solidFill>
          </w14:textFill>
        </w:rPr>
        <w:t>.</w:t>
      </w:r>
    </w:p>
    <w:p w14:paraId="0E775FA5">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DA ADESÃO À ATA DE REGISTRO DE PREÇOS</w:t>
      </w:r>
    </w:p>
    <w:p w14:paraId="2D91F4DD">
      <w:pPr>
        <w:pStyle w:val="32"/>
        <w:bidi w:val="0"/>
        <w:ind w:left="0" w:leftChars="0" w:firstLine="0" w:firstLineChars="0"/>
        <w:rPr>
          <w:i w:val="0"/>
          <w:iCs w:val="0"/>
          <w:color w:val="000000" w:themeColor="text1"/>
          <w14:textFill>
            <w14:solidFill>
              <w14:schemeClr w14:val="tx1"/>
            </w14:solidFill>
          </w14:textFill>
        </w:rPr>
      </w:pPr>
      <w:r>
        <w:rPr>
          <w:color w:val="000000" w:themeColor="text1"/>
          <w14:textFill>
            <w14:solidFill>
              <w14:schemeClr w14:val="tx1"/>
            </w14:solidFill>
          </w14:textFill>
        </w:rPr>
        <w:t xml:space="preserve">Durante a vigência da ata, os órgãos e as entidades da Administração Pública federal, estadual, </w:t>
      </w:r>
      <w:r>
        <w:rPr>
          <w:i w:val="0"/>
          <w:iCs w:val="0"/>
          <w:color w:val="000000" w:themeColor="text1"/>
          <w14:textFill>
            <w14:solidFill>
              <w14:schemeClr w14:val="tx1"/>
            </w14:solidFill>
          </w14:textFill>
        </w:rPr>
        <w:t>distrital e municipal que não participaram do procedimento de IRP poderão aderir à ata de registro de preços na condição de não participantes, observados os seguintes requisitos:</w:t>
      </w:r>
    </w:p>
    <w:p w14:paraId="2ADFAB01">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apresentação de justificativa da vantagem da adesão, inclusive em situações de provável desabastecimento ou descontinuidade de serviço público;</w:t>
      </w:r>
    </w:p>
    <w:p w14:paraId="6AB7F0DC">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demonstração de que os valores registrados estão compatíveis com os valores praticados pelo mercado na forma do art. 23 da Lei nº 14.133, de 2021; e</w:t>
      </w:r>
    </w:p>
    <w:p w14:paraId="53B2973E">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consulta e aceitação prévias do órgão ou da entidade gerenciadora e do fornecedor.</w:t>
      </w:r>
    </w:p>
    <w:p w14:paraId="1923C287">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 autorização do órgão ou entidade gerenciadora apenas será realizada após a aceitação da adesão pelo fornecedor.</w:t>
      </w:r>
    </w:p>
    <w:p w14:paraId="1F6A3528">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órgão ou entidade gerenciadora poderá rejeitar adesões caso elas possam acarretar prejuízo à execução de seus próprios contratos ou à sua capacidade de gerenciamento.</w:t>
      </w:r>
    </w:p>
    <w:p w14:paraId="71F8E848">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Após a autorização do órgão ou da entidade gerenciadora, o órgão ou entidade não participante deverá efetivar a aquisição ou a contratação solicitada em até noventa dias, observado o prazo de vigência da ata.</w:t>
      </w:r>
    </w:p>
    <w:p w14:paraId="5A271E31">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4E19C36D">
      <w:pPr>
        <w:pStyle w:val="32"/>
        <w:bidi w:val="0"/>
        <w:ind w:left="0" w:leftChars="0" w:firstLine="0" w:firstLineChars="0"/>
        <w:rPr>
          <w:color w:val="000000" w:themeColor="text1"/>
          <w14:textFill>
            <w14:solidFill>
              <w14:schemeClr w14:val="tx1"/>
            </w14:solidFill>
          </w14:textFill>
        </w:rPr>
      </w:pPr>
      <w:r>
        <w:rPr>
          <w:i w:val="0"/>
          <w:iCs w:val="0"/>
          <w:color w:val="000000" w:themeColor="text1"/>
          <w14:textFill>
            <w14:solidFill>
              <w14:schemeClr w14:val="tx1"/>
            </w14:solidFill>
          </w14:textFill>
        </w:rPr>
        <w:t xml:space="preserve">O órgão ou a entidade poderá aderir a item da ata de registro de preços da qual seja integrante, na qualidade de não participante, para aqueles </w:t>
      </w:r>
      <w:r>
        <w:rPr>
          <w:color w:val="000000" w:themeColor="text1"/>
          <w14:textFill>
            <w14:solidFill>
              <w14:schemeClr w14:val="tx1"/>
            </w14:solidFill>
          </w14:textFill>
        </w:rPr>
        <w:t>itens para os quais não tenha quantitativo registrado, observados os requisitos do item 4.1.</w:t>
      </w:r>
    </w:p>
    <w:p w14:paraId="299FECDE">
      <w:pPr>
        <w:pStyle w:val="43"/>
        <w:rPr>
          <w:color w:val="000000" w:themeColor="text1"/>
          <w14:textFill>
            <w14:solidFill>
              <w14:schemeClr w14:val="tx1"/>
            </w14:solidFill>
          </w14:textFill>
        </w:rPr>
      </w:pPr>
      <w:r>
        <w:rPr>
          <w:color w:val="000000" w:themeColor="text1"/>
          <w14:textFill>
            <w14:solidFill>
              <w14:schemeClr w14:val="tx1"/>
            </w14:solidFill>
          </w14:textFill>
        </w:rPr>
        <w:t>Dos limites para as adesões</w:t>
      </w:r>
    </w:p>
    <w:p w14:paraId="52240F2A">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18FA7E5">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E524542">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A adesão à ata de registro de preços por órgãos e entidades da Administração Pública estadual, distrital e municipal poderá ser exigida para fins de transferências voluntárias, não ficando sujeita ao limite de que trata o item 4.7, desde que seja destinada à execução descentralizada de programa ou projeto federal e comprovada a compatibilidade dos preços registrados com os valores praticados no mercado na forma do art. 23 da Lei nº 14.133, de 2021.</w:t>
      </w:r>
    </w:p>
    <w:p w14:paraId="1BC9767C">
      <w:pPr>
        <w:pStyle w:val="43"/>
        <w:rPr>
          <w:color w:val="000000" w:themeColor="text1"/>
          <w14:textFill>
            <w14:solidFill>
              <w14:schemeClr w14:val="tx1"/>
            </w14:solidFill>
          </w14:textFill>
        </w:rPr>
      </w:pPr>
      <w:r>
        <w:rPr>
          <w:color w:val="000000" w:themeColor="text1"/>
          <w14:textFill>
            <w14:solidFill>
              <w14:schemeClr w14:val="tx1"/>
            </w14:solidFill>
          </w14:textFill>
        </w:rPr>
        <w:t>Vedação a acréscimo de quantitativos</w:t>
      </w:r>
    </w:p>
    <w:p w14:paraId="558BCCCD">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É vedado efetuar acréscimos nos quantitativos fixados na ata de registro de preços.</w:t>
      </w:r>
    </w:p>
    <w:p w14:paraId="5C9B8C98">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VALIDADE, FORMALIZAÇÃO DA ATA DE REGISTRO DE PREÇOS E CADASTRO RESERVA</w:t>
      </w:r>
    </w:p>
    <w:p w14:paraId="0A65812E">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A validade da Ata de Registro de Preços será de </w:t>
      </w:r>
      <w:r>
        <w:rPr>
          <w:rFonts w:hint="default"/>
          <w:i w:val="0"/>
          <w:iCs w:val="0"/>
          <w:color w:val="000000" w:themeColor="text1"/>
          <w:lang w:val="pt-BR"/>
          <w14:textFill>
            <w14:solidFill>
              <w14:schemeClr w14:val="tx1"/>
            </w14:solidFill>
          </w14:textFill>
        </w:rPr>
        <w:t>01 (um)</w:t>
      </w:r>
      <w:r>
        <w:rPr>
          <w:i w:val="0"/>
          <w:iCs w:val="0"/>
          <w:color w:val="000000" w:themeColor="text1"/>
          <w14:textFill>
            <w14:solidFill>
              <w14:schemeClr w14:val="tx1"/>
            </w14:solidFill>
          </w14:textFill>
        </w:rPr>
        <w:t xml:space="preserve"> ano, contado a partir do primeiro dia útil subsequente à data de divulgação no PNCP, podendo ser prorrogada por igual período, mediante a anuência do fornecedor, desde que comprovado o preço vantajoso.</w:t>
      </w:r>
    </w:p>
    <w:p w14:paraId="1D2193F2">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09C54C69">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formalização do contrato ou do instrumento substituto deverá haver a indicação da disponibilidade dos créditos orçamentários respectivos.</w:t>
      </w:r>
    </w:p>
    <w:p w14:paraId="074652BB">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14:paraId="6D005B0B">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instrumento contratual de que trata o item 5.2. deverá ser assinado no prazo de validade da ata de registro de preços.</w:t>
      </w:r>
    </w:p>
    <w:p w14:paraId="7C4608AD">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Os contratos decorrentes do sistema de registro de preços poderão ser alterados, observado o art. 124 da Lei nº 14.133, de 2021.</w:t>
      </w:r>
    </w:p>
    <w:p w14:paraId="5D3FC6EF">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Após a homologação da licitação ou da contratação direta, deverão ser observadas as seguintes condições para formalização da ata de registro de preços:</w:t>
      </w:r>
    </w:p>
    <w:p w14:paraId="2E87BC7C">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Serão registrados na ata os preços e os quantitativos do adjudicatário, devendo ser observada a possibilidade de o licitante oferecer ou não proposta em quantitativo inferior ao máximo previsto no edital  e se obrigar nos limites dela;</w:t>
      </w:r>
    </w:p>
    <w:p w14:paraId="20DFC9CB">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Será incluído na ata, na forma de anexo, o registro dos licitantes ou dos fornecedores que:</w:t>
      </w:r>
    </w:p>
    <w:p w14:paraId="18CE5FB8">
      <w:pPr>
        <w:pStyle w:val="41"/>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Aceitarem cotar os bens, as obras ou os serviços com preços iguais aos do adjudicatário, observada a classificação da licitação; e </w:t>
      </w:r>
    </w:p>
    <w:p w14:paraId="6F934780">
      <w:pPr>
        <w:pStyle w:val="41"/>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Mantiverem sua proposta original. </w:t>
      </w:r>
      <w:bookmarkStart w:id="0" w:name="cadastro_reserva"/>
      <w:bookmarkEnd w:id="0"/>
    </w:p>
    <w:p w14:paraId="1A77503A">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Será respeitada, nas contratações, a ordem de classificação dos licitantes ou dos fornecedores registrados na ata.</w:t>
      </w:r>
    </w:p>
    <w:p w14:paraId="6CAFA5BD">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registro a que se refere o item 5.4.2 tem por objetivo a formação de cadastro de reserva para o caso de impossibilidade de atendimento pelo signatário da ata.</w:t>
      </w:r>
    </w:p>
    <w:p w14:paraId="4435F1B9">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Para fins da ordem de classificação, os licitantes ou fornecedores que aceitarem reduzir suas propostas para o preço do adjudicatário antecederão aqueles que mantiverem sua proposta original.</w:t>
      </w:r>
    </w:p>
    <w:p w14:paraId="494290DD">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A habilitação dos licitantes que comporão o cadastro de reserva a que se refere 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cadastro_reserva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5.4.2.2</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xml:space="preserve"> somente será efetuada quando houver necessidade de contratação dos licitantes remanescentes, nas seguintes hipóteses:</w:t>
      </w:r>
      <w:bookmarkStart w:id="1" w:name="habilitacao_reserva"/>
      <w:bookmarkEnd w:id="1"/>
    </w:p>
    <w:p w14:paraId="01A8125C">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Quando o licitante vencedor não assinar a ata de registro de preços, no prazo e nas condições estabelecidos no edital e</w:t>
      </w:r>
    </w:p>
    <w:p w14:paraId="468C4FC9">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Quando houver o cancelamento do registro do licitante ou do registro de preços nas hipóteses previstas no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cancelamento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9</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w:t>
      </w:r>
    </w:p>
    <w:p w14:paraId="139F73B5">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preço registrado com indicação dos licitantes e fornecedores será divulgado no PNCP e ficará disponibilizado durante a vigência da ata de registro de preços.</w:t>
      </w:r>
    </w:p>
    <w:p w14:paraId="1E1D4A30">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5121E3">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605D3474">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 ata de registro de preços será assinada por meio de assinatura digital e disponibilizada no Sistema de Registro de Preços.</w:t>
      </w:r>
    </w:p>
    <w:p w14:paraId="0DC07E5B">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Quando o convocado não assinar a ata de registro de preços no prazo e nas condições estabelecidos no edital ou no aviso de contratação, e observado o disposto no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habilitacao_reserva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5.7</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observando o item 5.7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7A55CA37">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nenhum dos licitantes que trata o item 5.4.2.1, aceitar a contratação nos termos do item anterior, a Administração, observados o valor estimado e sua eventual atualização nos termos do edital, poderá:</w:t>
      </w:r>
    </w:p>
    <w:p w14:paraId="75617BD7">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Convocar para negociação os demais licitantes ou fornecedores remanescentes cujos preços foram registrados sem redução, observada a ordem de classificação, com vistas à obtenção de preço melhor, mesmo que acima do preço do adjudicatário; ou</w:t>
      </w:r>
    </w:p>
    <w:p w14:paraId="73212B41">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Adjudicar e firmar o contrato nas condições ofertadas pelos licitantes ou fornecedores remanescentes, atendida a ordem classificatória, quando frustrada a negociação de melhor condição.</w:t>
      </w:r>
    </w:p>
    <w:p w14:paraId="07970B68">
      <w:pPr>
        <w:pStyle w:val="32"/>
        <w:bidi w:val="0"/>
        <w:ind w:left="0" w:leftChars="0" w:firstLine="0" w:firstLineChars="0"/>
        <w:rPr>
          <w:color w:val="000000" w:themeColor="text1"/>
          <w14:textFill>
            <w14:solidFill>
              <w14:schemeClr w14:val="tx1"/>
            </w14:solidFill>
          </w14:textFill>
        </w:rPr>
      </w:pPr>
      <w:r>
        <w:rPr>
          <w:i w:val="0"/>
          <w:iCs w:val="0"/>
          <w:color w:val="000000" w:themeColor="text1"/>
          <w14:textFill>
            <w14:solidFill>
              <w14:schemeClr w14:val="tx1"/>
            </w14:solidFill>
          </w14:textFill>
        </w:rPr>
        <w:t>A existência de preços registrados implicará compromisso de fornecimento nas condições estabelecidas, mas não obrigará a Administração a contratar, facultada a r</w:t>
      </w:r>
      <w:r>
        <w:rPr>
          <w:color w:val="000000" w:themeColor="text1"/>
          <w14:textFill>
            <w14:solidFill>
              <w14:schemeClr w14:val="tx1"/>
            </w14:solidFill>
          </w14:textFill>
        </w:rPr>
        <w:t>ealização de licitação específica para a aquisição pretendida, desde que devidamente justificada.</w:t>
      </w:r>
    </w:p>
    <w:p w14:paraId="32B2D605">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ALTERAÇÃO OU ATUALIZAÇÃO DOS PREÇOS REGISTRADOS</w:t>
      </w:r>
    </w:p>
    <w:p w14:paraId="485649FA">
      <w:pPr>
        <w:pStyle w:val="32"/>
        <w:bidi w:val="0"/>
        <w:ind w:left="0" w:leftChars="0" w:firstLine="0" w:firstLineChars="0"/>
        <w:rPr>
          <w:i w:val="0"/>
          <w:iCs w:val="0"/>
          <w:color w:val="000000" w:themeColor="text1"/>
          <w14:textFill>
            <w14:solidFill>
              <w14:schemeClr w14:val="tx1"/>
            </w14:solidFill>
          </w14:textFill>
        </w:rPr>
      </w:pPr>
      <w:r>
        <w:rPr>
          <w:color w:val="000000" w:themeColor="text1"/>
          <w14:textFill>
            <w14:solidFill>
              <w14:schemeClr w14:val="tx1"/>
            </w14:solidFill>
          </w14:textFill>
        </w:rPr>
        <w:t>Os preços registrados poderão ser alterados ou atualizados em decorrência de eventual redução dos preços praticados no mercado ou de fato que eleve o custo dos bens, das obras ou dos serviços re</w:t>
      </w:r>
      <w:r>
        <w:rPr>
          <w:i w:val="0"/>
          <w:iCs w:val="0"/>
          <w:color w:val="000000" w:themeColor="text1"/>
          <w14:textFill>
            <w14:solidFill>
              <w14:schemeClr w14:val="tx1"/>
            </w14:solidFill>
          </w14:textFill>
        </w:rPr>
        <w:t>gistrados, nas seguintes situações:</w:t>
      </w:r>
    </w:p>
    <w:p w14:paraId="0818DC59">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F6B1ECE">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Em caso de criação, alteração ou extinção de quaisquer tributos ou encargos legais ou a superveniência de disposições legais, com comprovada repercussão sobre os preços registrados; </w:t>
      </w:r>
    </w:p>
    <w:p w14:paraId="1259BCE9">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previsão no edital ou no aviso de contratação direta de cláusula de reajustamento ou repactuação sobre os preços registrados, nos termos da Lei nº 14.133, de 2021.</w:t>
      </w:r>
    </w:p>
    <w:p w14:paraId="02850536">
      <w:pPr>
        <w:pStyle w:val="41"/>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No caso do reajustamento, deverá ser respeitada a contagem da anualidade e o índice previstos para a contratação;  </w:t>
      </w:r>
    </w:p>
    <w:p w14:paraId="6391C6F2">
      <w:pPr>
        <w:pStyle w:val="41"/>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No caso da repactuação, poderá ser a pedido do interessado, conforme critérios definidos para a contratação.</w:t>
      </w:r>
    </w:p>
    <w:p w14:paraId="093107E0">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NEGOCIAÇÃO DE PREÇOS REGISTRADOS</w:t>
      </w:r>
    </w:p>
    <w:p w14:paraId="042ACC11">
      <w:pPr>
        <w:pStyle w:val="32"/>
        <w:bidi w:val="0"/>
        <w:ind w:left="0" w:leftChars="0" w:firstLine="0" w:firstLineChars="0"/>
        <w:rPr>
          <w:i w:val="0"/>
          <w:iCs w:val="0"/>
          <w:color w:val="000000" w:themeColor="text1"/>
          <w14:textFill>
            <w14:solidFill>
              <w14:schemeClr w14:val="tx1"/>
            </w14:solidFill>
          </w14:textFill>
        </w:rPr>
      </w:pPr>
      <w:r>
        <w:rPr>
          <w:color w:val="000000" w:themeColor="text1"/>
          <w14:textFill>
            <w14:solidFill>
              <w14:schemeClr w14:val="tx1"/>
            </w14:solidFill>
          </w14:textFill>
        </w:rPr>
        <w:t>N</w:t>
      </w:r>
      <w:r>
        <w:rPr>
          <w:i w:val="0"/>
          <w:iCs w:val="0"/>
          <w:color w:val="000000" w:themeColor="text1"/>
          <w14:textFill>
            <w14:solidFill>
              <w14:schemeClr w14:val="tx1"/>
            </w14:solidFill>
          </w14:textFill>
        </w:rPr>
        <w:t>a hipótese de o preço registrado tornar-se superior ao preço praticado no mercado por motivo superveniente, o órgão ou entidade gerenciadora convocará o fornecedor para negociar a redução do preço registrado.</w:t>
      </w:r>
    </w:p>
    <w:p w14:paraId="029390FF">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Caso não aceite reduzir seu preço aos valores praticados pelo mercado, o fornecedor será liberado do compromisso assumido quanto ao item registrado, sem aplicação de penalidades administrativas.</w:t>
      </w:r>
    </w:p>
    <w:p w14:paraId="616B6DA7">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0C989D20">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Se não obtiver êxito nas negociações, o órgão ou entidade gerenciadora procederá ao cancelamento da ata de registro de preços, adotando as medidas cabíveis para obtenção de contratação mais vantajosa.</w:t>
      </w:r>
      <w:bookmarkStart w:id="3" w:name="reducao_preco_mercado_negociacao_frustra"/>
      <w:bookmarkEnd w:id="3"/>
    </w:p>
    <w:p w14:paraId="24800C80">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redução do preço registrado, o gerenciador comunicará aos órgãos e às entidades que tiverem firmado contratos decorrentes da ata de registro de preços para que avaliem a conveniência e a oportunidade de diligenciarem negociação com vistas à alteração contratual, observado o disposto no art. 124 da Lei nº 14.133, de 2021.</w:t>
      </w:r>
    </w:p>
    <w:p w14:paraId="7C12A57B">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 w:name="hipotese_preco_mercado_maior"/>
      <w:bookmarkEnd w:id="4"/>
    </w:p>
    <w:p w14:paraId="1160BBF6">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Neste caso, o fornecedor encaminhará, juntamente com o pedido de alteração, a documentação comprobatória ou a planilha de custos que demonstre a inviabilidade do preço registrado em relação às condições inicialmente pactuadas.</w:t>
      </w:r>
      <w:bookmarkStart w:id="5" w:name="prova_preco_mercado_maior"/>
      <w:bookmarkEnd w:id="5"/>
    </w:p>
    <w:p w14:paraId="15FB326C">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Na hipótese de não comprovação da existência de fato superveniente que inviabilize o preço registrado, o pedido será indeferido pelo órgão ou entidade gerenciadora e o fornecedor deverá cumprir as obrigações estabelecidas na ata, sob pena de cancelamento do seu registro, nos termos do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cancelamento_do_fornecedor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9.1</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sem prejuízo das sanções previstas na Lei nº 14.133, de 2021, e na legislação aplicável.</w:t>
      </w:r>
      <w:bookmarkStart w:id="6" w:name="nao_comprovacao_majoracao_mercado"/>
      <w:bookmarkEnd w:id="6"/>
    </w:p>
    <w:p w14:paraId="1E35F849">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cancelamento do registro do fornecedor, nos termos do item anterior, o gerenciador convocará os fornecedores do cadastro de reserva, na ordem de classificação, para verificar se aceitam manter seus preços registrados, observado o disposto no item 5.7.</w:t>
      </w:r>
    </w:p>
    <w:p w14:paraId="07D8B502">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Se não obtiver êxito nas negociações, o órgão ou entidade gerenciadora procederá ao cancelamento da ata de registro de preços, nos termos do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cancelamento_da_ata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9.4</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e adotará as medidas cabíveis para a obtenção da contratação mais vantajosa.</w:t>
      </w:r>
      <w:bookmarkStart w:id="7" w:name="majora_preco_mercado_negociacao_frustra"/>
      <w:bookmarkEnd w:id="7"/>
    </w:p>
    <w:p w14:paraId="720A4928">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Na hipótese de comprovação da majoração do preço de mercado que inviabilize o preço registrado, conforme previsto no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hipotese_preco_mercado_maior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7.2</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xml:space="preserve"> e no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prova_preco_mercado_maior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7.2.1</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o órgão ou entidade gerenciadora atualizará o preço registrado, de acordo com a realidade dos valores praticados pelo mercado.</w:t>
      </w:r>
    </w:p>
    <w:p w14:paraId="19C99876">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O órgão ou entidade gerenciadora comunicará aos órgãos e às entidades que tiverem firmado contratos decorrentes da ata de registro de preços sobre a efetiva alteração do preço registrado, para que avaliem a necessidade de alteração contratual, observado o disposto no art. 124 da Lei nº 14.133, de 2021.</w:t>
      </w:r>
    </w:p>
    <w:p w14:paraId="70CCFFFC">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REMANEJAMENTO DAS QUANTIDADES REGISTRADAS NA ATA DE REGISTRO DE PREÇOS</w:t>
      </w:r>
    </w:p>
    <w:p w14:paraId="7F4E0979">
      <w:pPr>
        <w:pStyle w:val="32"/>
        <w:bidi w:val="0"/>
        <w:ind w:left="0" w:leftChars="0" w:firstLine="0" w:firstLineChars="0"/>
        <w:rPr>
          <w:i w:val="0"/>
          <w:iCs w:val="0"/>
          <w:color w:val="000000" w:themeColor="text1"/>
          <w14:textFill>
            <w14:solidFill>
              <w14:schemeClr w14:val="tx1"/>
            </w14:solidFill>
          </w14:textFill>
        </w:rPr>
      </w:pPr>
      <w:r>
        <w:rPr>
          <w:color w:val="000000" w:themeColor="text1"/>
          <w14:textFill>
            <w14:solidFill>
              <w14:schemeClr w14:val="tx1"/>
            </w14:solidFill>
          </w14:textFill>
        </w:rPr>
        <w:t xml:space="preserve"> </w:t>
      </w:r>
      <w:r>
        <w:rPr>
          <w:i w:val="0"/>
          <w:iCs w:val="0"/>
          <w:color w:val="000000" w:themeColor="text1"/>
          <w14:textFill>
            <w14:solidFill>
              <w14:schemeClr w14:val="tx1"/>
            </w14:solidFill>
          </w14:textFill>
        </w:rPr>
        <w:t>As quantidades previstas para os itens com preços registrados nas atas de registro de preços poderão ser remanejadas pelo órgão ou entidade gerenciadora entre os órgãos ou as entidades participantes e não participantes do registro de preços.</w:t>
      </w:r>
    </w:p>
    <w:p w14:paraId="4B27DCC0">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O remanejamento somente poderá ser feito:</w:t>
      </w:r>
    </w:p>
    <w:p w14:paraId="76F5E772">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De órgão ou entidade participante para órgão ou entidade participante; ou</w:t>
      </w:r>
    </w:p>
    <w:p w14:paraId="13B3DC4B">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De órgão ou entidade participante para órgão ou entidade não participante.</w:t>
      </w:r>
    </w:p>
    <w:p w14:paraId="44B90ABC">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órgão ou entidade gerenciadora que tiver estimado as quantidades que pretende contratar será considerado participante para efeito do remanejamento.</w:t>
      </w:r>
      <w:bookmarkStart w:id="8" w:name="gerenciador_estimador_é_partic_em_remane"/>
      <w:bookmarkEnd w:id="8"/>
    </w:p>
    <w:p w14:paraId="2925CA59">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remanejamento de órgão ou entidade participante para órgão ou entidade não participante, serão observados os limites previstos no art. 202 do Decreto nº 359, de 2023.</w:t>
      </w:r>
    </w:p>
    <w:p w14:paraId="2F0A4708">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Competirá ao órgão ou à entidade gerenciadora autorizar o remanejamento solicitado, com a redução do quantitativo inicialmente informado pelo órgão ou pela entidade participante, desde que haja prévia anuência do órgão ou da entidade que sofrer redução dos quantitativos informados.</w:t>
      </w:r>
    </w:p>
    <w:p w14:paraId="20D42248">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Na hipótese da compra centralizada, não havendo indicação pelo órgão ou pela entidade gerenciadora, dos quantitativos dos participantes da compra centralizada, nos termos do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gerenciador_estimador_é_partic_em_remane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8.3</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a distribuição das quantidades para a execução descentralizada será por meio do remanejamento.</w:t>
      </w:r>
    </w:p>
    <w:p w14:paraId="6A926C22">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CANCELAMENTO DO REGISTRO DO LICITANTE VENCEDOR E DOS PREÇOS REGISTRADOS</w:t>
      </w:r>
      <w:bookmarkStart w:id="9" w:name="cancelamento"/>
      <w:bookmarkEnd w:id="9"/>
    </w:p>
    <w:p w14:paraId="091D8853">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registro do fornecedor será cancelado pelo gerenciador, quando o fornecedor:</w:t>
      </w:r>
      <w:bookmarkStart w:id="10" w:name="cancelamento_do_fornecedor"/>
      <w:bookmarkEnd w:id="10"/>
    </w:p>
    <w:p w14:paraId="03481AE8">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Descumprir as condições da ata de registro de preços, sem motivo justificado;</w:t>
      </w:r>
    </w:p>
    <w:p w14:paraId="461BF1B7">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Não retirar a nota de empenho, ou instrumento equivalente, no prazo estabelecido pela Administração sem justificativa razoável;</w:t>
      </w:r>
    </w:p>
    <w:p w14:paraId="01AEEBED">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Não aceitar manter seu preço registrado, na hipótese prevista no artigo 197, § 3º, do Decreto nº 359, de 2023; ou</w:t>
      </w:r>
    </w:p>
    <w:p w14:paraId="7584DF81">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Sofrer sanção prevista nos incisos III ou IV do caput do art. 156 da Lei nº 14.133, de 2021.</w:t>
      </w:r>
    </w:p>
    <w:p w14:paraId="0450F8DE">
      <w:pPr>
        <w:pStyle w:val="41"/>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672D71DA">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 O cancelamento de registros nas hipóteses previstas no item </w:t>
      </w:r>
      <w:r>
        <w:rPr>
          <w:i w:val="0"/>
          <w:iCs w:val="0"/>
          <w:color w:val="000000" w:themeColor="text1"/>
          <w14:textFill>
            <w14:solidFill>
              <w14:schemeClr w14:val="tx1"/>
            </w14:solidFill>
          </w14:textFill>
        </w:rPr>
        <w:fldChar w:fldCharType="begin"/>
      </w:r>
      <w:r>
        <w:rPr>
          <w:i w:val="0"/>
          <w:iCs w:val="0"/>
          <w:color w:val="000000" w:themeColor="text1"/>
          <w14:textFill>
            <w14:solidFill>
              <w14:schemeClr w14:val="tx1"/>
            </w14:solidFill>
          </w14:textFill>
        </w:rPr>
        <w:instrText xml:space="preserve"> REF cancelamento_do_fornecedor \r \h  \* MERGEFORMAT </w:instrText>
      </w:r>
      <w:r>
        <w:rPr>
          <w:i w:val="0"/>
          <w:iCs w:val="0"/>
          <w:color w:val="000000" w:themeColor="text1"/>
          <w14:textFill>
            <w14:solidFill>
              <w14:schemeClr w14:val="tx1"/>
            </w14:solidFill>
          </w14:textFill>
        </w:rPr>
        <w:fldChar w:fldCharType="separate"/>
      </w:r>
      <w:r>
        <w:rPr>
          <w:i w:val="0"/>
          <w:iCs w:val="0"/>
          <w:color w:val="000000" w:themeColor="text1"/>
          <w14:textFill>
            <w14:solidFill>
              <w14:schemeClr w14:val="tx1"/>
            </w14:solidFill>
          </w14:textFill>
        </w:rPr>
        <w:t>9.1</w:t>
      </w:r>
      <w:r>
        <w:rPr>
          <w:i w:val="0"/>
          <w:iCs w:val="0"/>
          <w:color w:val="000000" w:themeColor="text1"/>
          <w14:textFill>
            <w14:solidFill>
              <w14:schemeClr w14:val="tx1"/>
            </w14:solidFill>
          </w14:textFill>
        </w:rPr>
        <w:fldChar w:fldCharType="end"/>
      </w:r>
      <w:r>
        <w:rPr>
          <w:i w:val="0"/>
          <w:iCs w:val="0"/>
          <w:color w:val="000000" w:themeColor="text1"/>
          <w14:textFill>
            <w14:solidFill>
              <w14:schemeClr w14:val="tx1"/>
            </w14:solidFill>
          </w14:textFill>
        </w:rPr>
        <w:t xml:space="preserve"> será formalizado por despacho do órgão ou da entidade gerenciadora, garantidos os princípios do contraditório e da ampla defesa.</w:t>
      </w:r>
    </w:p>
    <w:p w14:paraId="10A8A557">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Na hipótese de cancelamento do registro do fornecedor, o órgão ou a entidade gerenciadora poderá convocar os licitantes que compõem o cadastro de reserva, observada a ordem de classificação.</w:t>
      </w:r>
    </w:p>
    <w:p w14:paraId="13F0D4BA">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cancelamento dos preços registrados poderá ser realizado pelo gerenciador, em determinada ata de registro de preços, total ou parcialmente, nas seguintes hipóteses, desde que devidamente comprovadas e justificadas:</w:t>
      </w:r>
      <w:bookmarkStart w:id="11" w:name="cancelamento_da_ata"/>
      <w:bookmarkEnd w:id="11"/>
      <w:r>
        <w:rPr>
          <w:i w:val="0"/>
          <w:iCs w:val="0"/>
          <w:color w:val="000000" w:themeColor="text1"/>
          <w14:textFill>
            <w14:solidFill>
              <w14:schemeClr w14:val="tx1"/>
            </w14:solidFill>
          </w14:textFill>
        </w:rPr>
        <w:t xml:space="preserve"> </w:t>
      </w:r>
    </w:p>
    <w:p w14:paraId="3F6DC85A">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Por razão de interesse público;</w:t>
      </w:r>
    </w:p>
    <w:p w14:paraId="5AACC6B8">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A pedido do fornecedor, decorrente de caso fortuito ou força maior; ou</w:t>
      </w:r>
    </w:p>
    <w:p w14:paraId="02BC0D02">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Se não houver êxito nas negociações, nas hipóteses em que o preço de mercado tornar-se superior ou inferior ao preço registrado, nos termos do artigos 197 e 198, ambos do Decreto nº 359, de 2023. </w:t>
      </w:r>
    </w:p>
    <w:p w14:paraId="5164DBF8">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DAS PENALIDADES</w:t>
      </w:r>
    </w:p>
    <w:p w14:paraId="64E81449">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descumprimento da Ata de Registro de Preços ensejará aplicação das penalidades estabelecidas no edital</w:t>
      </w:r>
      <w:r>
        <w:rPr>
          <w:rFonts w:hint="default"/>
          <w:i w:val="0"/>
          <w:iCs w:val="0"/>
          <w:color w:val="000000" w:themeColor="text1"/>
          <w:lang w:val="pt-BR"/>
          <w14:textFill>
            <w14:solidFill>
              <w14:schemeClr w14:val="tx1"/>
            </w14:solidFill>
          </w14:textFill>
        </w:rPr>
        <w:t>.</w:t>
      </w:r>
    </w:p>
    <w:p w14:paraId="1FC5043A">
      <w:pPr>
        <w:pStyle w:val="38"/>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 xml:space="preserve">As sanções também se aplicam aos integrantes do cadastro de reserva no registro de preços que, convocados, não honrarem o compromisso assumido injustificadamente após terem assinado a ata. </w:t>
      </w:r>
    </w:p>
    <w:p w14:paraId="1AB3DA6A">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É da competência do gerenciador a aplicação das penalidades decorrentes do descumprimento do pactuado nesta ata de registro de preço (art. 182º, inc. XV, do Decreto nº 359, de 2023), exceto nas hipóteses em que o descumprimento disser respeito às contratações dos órgãos ou entidade participante, caso no qual caberá ao respectivo órgão participante a aplicação da penalidade.</w:t>
      </w:r>
    </w:p>
    <w:p w14:paraId="3C3D6C1E">
      <w:pPr>
        <w:pStyle w:val="32"/>
        <w:bidi w:val="0"/>
        <w:ind w:left="0" w:leftChars="0" w:firstLine="0" w:firstLineChars="0"/>
        <w:rPr>
          <w:i w:val="0"/>
          <w:iCs w:val="0"/>
          <w:color w:val="000000" w:themeColor="text1"/>
          <w14:textFill>
            <w14:solidFill>
              <w14:schemeClr w14:val="tx1"/>
            </w14:solidFill>
          </w14:textFill>
        </w:rPr>
      </w:pPr>
      <w:r>
        <w:rPr>
          <w:i w:val="0"/>
          <w:iCs w:val="0"/>
          <w:color w:val="000000" w:themeColor="text1"/>
          <w14:textFill>
            <w14:solidFill>
              <w14:schemeClr w14:val="tx1"/>
            </w14:solidFill>
          </w14:textFill>
        </w:rPr>
        <w:t>O órgão ou entidade participante deverá comunicar ao órgão gerenciador qualquer das ocorrências previstas no item 9.1, dada a necessidade de instauração de procedimento para cancelamento do registro do fornecedor.</w:t>
      </w:r>
    </w:p>
    <w:p w14:paraId="0F5686BC">
      <w:pPr>
        <w:pStyle w:val="26"/>
        <w:bidi w:val="0"/>
        <w:ind w:left="360" w:leftChars="0" w:hanging="360" w:firstLineChars="0"/>
        <w:rPr>
          <w:color w:val="000000" w:themeColor="text1"/>
          <w14:textFill>
            <w14:solidFill>
              <w14:schemeClr w14:val="tx1"/>
            </w14:solidFill>
          </w14:textFill>
        </w:rPr>
      </w:pPr>
      <w:r>
        <w:rPr>
          <w:color w:val="000000" w:themeColor="text1"/>
          <w14:textFill>
            <w14:solidFill>
              <w14:schemeClr w14:val="tx1"/>
            </w14:solidFill>
          </w14:textFill>
        </w:rPr>
        <w:t>CONDIÇÕES GERAIS</w:t>
      </w:r>
    </w:p>
    <w:p w14:paraId="3019B225">
      <w:pPr>
        <w:pStyle w:val="32"/>
        <w:bidi w:val="0"/>
        <w:ind w:left="0" w:leftChars="0" w:firstLine="0" w:firstLineChars="0"/>
        <w:rPr>
          <w:color w:val="000000" w:themeColor="text1"/>
          <w14:textFill>
            <w14:solidFill>
              <w14:schemeClr w14:val="tx1"/>
            </w14:solidFill>
          </w14:textFill>
        </w:rPr>
      </w:pPr>
      <w:r>
        <w:rPr>
          <w:color w:val="000000" w:themeColor="text1"/>
          <w14:textFill>
            <w14:solidFill>
              <w14:schemeClr w14:val="tx1"/>
            </w14:solidFill>
          </w14:textFill>
        </w:rPr>
        <w:t>As condições gerais de execução do objeto, tais como os prazos para entrega e recebimento, as obrigações da Administração e do fornecedor registrado, penalidades e demais condições do ajuste, encontram-se definidos n</w:t>
      </w:r>
      <w:r>
        <w:rPr>
          <w:rFonts w:hint="default"/>
          <w:color w:val="000000" w:themeColor="text1"/>
          <w:lang w:val="pt-BR"/>
          <w14:textFill>
            <w14:solidFill>
              <w14:schemeClr w14:val="tx1"/>
            </w14:solidFill>
          </w14:textFill>
        </w:rPr>
        <w:t>a minuta contratual</w:t>
      </w:r>
      <w:r>
        <w:rPr>
          <w:color w:val="000000" w:themeColor="text1"/>
          <w14:textFill>
            <w14:solidFill>
              <w14:schemeClr w14:val="tx1"/>
            </w14:solidFill>
          </w14:textFill>
        </w:rPr>
        <w:t>, ANEXO AO EDITAL</w:t>
      </w:r>
      <w:r>
        <w:rPr>
          <w:rFonts w:hint="default"/>
          <w:color w:val="000000" w:themeColor="text1"/>
          <w:lang w:val="pt-BR"/>
          <w14:textFill>
            <w14:solidFill>
              <w14:schemeClr w14:val="tx1"/>
            </w14:solidFill>
          </w14:textFill>
        </w:rPr>
        <w:t>.</w:t>
      </w:r>
    </w:p>
    <w:p w14:paraId="2DF834E0">
      <w:pPr>
        <w:widowControl w:val="0"/>
        <w:autoSpaceDE w:val="0"/>
        <w:autoSpaceDN w:val="0"/>
        <w:adjustRightInd w:val="0"/>
        <w:spacing w:before="120" w:after="120" w:line="276" w:lineRule="auto"/>
        <w:jc w:val="both"/>
        <w:rPr>
          <w:rFonts w:ascii="Arial" w:hAnsi="Arial" w:cs="Arial"/>
          <w:color w:val="000000" w:themeColor="text1"/>
          <w:sz w:val="20"/>
          <w:szCs w:val="20"/>
          <w14:textFill>
            <w14:solidFill>
              <w14:schemeClr w14:val="tx1"/>
            </w14:solidFill>
          </w14:textFill>
        </w:rPr>
      </w:pPr>
    </w:p>
    <w:p w14:paraId="26BAD90B">
      <w:pPr>
        <w:widowControl w:val="0"/>
        <w:autoSpaceDE w:val="0"/>
        <w:autoSpaceDN w:val="0"/>
        <w:adjustRightInd w:val="0"/>
        <w:spacing w:before="120" w:after="120" w:line="276" w:lineRule="auto"/>
        <w:jc w:val="both"/>
        <w:rPr>
          <w:rFonts w:hint="default" w:ascii="Arial" w:hAnsi="Arial" w:cs="Arial"/>
          <w:i/>
          <w:iCs/>
          <w:color w:val="000000" w:themeColor="text1"/>
          <w:sz w:val="20"/>
          <w:szCs w:val="20"/>
          <w:lang w:val="pt-BR"/>
          <w14:textFill>
            <w14:solidFill>
              <w14:schemeClr w14:val="tx1"/>
            </w14:solidFill>
          </w14:textFill>
        </w:rPr>
      </w:pPr>
      <w:r>
        <w:rPr>
          <w:rFonts w:ascii="Arial" w:hAnsi="Arial" w:cs="Arial"/>
          <w:color w:val="000000" w:themeColor="text1"/>
          <w:sz w:val="20"/>
          <w:szCs w:val="20"/>
          <w14:textFill>
            <w14:solidFill>
              <w14:schemeClr w14:val="tx1"/>
            </w14:solidFill>
          </w14:textFill>
        </w:rPr>
        <w:t>Para firmeza e validade do pactuado, a presente Ata foi lavrada em .... (....) vias de igual teor, que, depois de lida e achada em ordem, vai assinada pelas partes</w:t>
      </w:r>
      <w:r>
        <w:rPr>
          <w:rFonts w:hint="default" w:ascii="Arial" w:hAnsi="Arial" w:cs="Arial"/>
          <w:color w:val="000000" w:themeColor="text1"/>
          <w:sz w:val="20"/>
          <w:szCs w:val="20"/>
          <w:lang w:val="pt-BR"/>
          <w14:textFill>
            <w14:solidFill>
              <w14:schemeClr w14:val="tx1"/>
            </w14:solidFill>
          </w14:textFill>
        </w:rPr>
        <w:t>.</w:t>
      </w:r>
    </w:p>
    <w:p w14:paraId="44D14C92">
      <w:pPr>
        <w:widowControl w:val="0"/>
        <w:autoSpaceDE w:val="0"/>
        <w:autoSpaceDN w:val="0"/>
        <w:adjustRightInd w:val="0"/>
        <w:spacing w:line="360" w:lineRule="auto"/>
        <w:ind w:right="-30"/>
        <w:rPr>
          <w:rFonts w:ascii="Arial" w:hAnsi="Arial" w:cs="Arial"/>
          <w:color w:val="000000" w:themeColor="text1"/>
          <w:sz w:val="20"/>
          <w:szCs w:val="20"/>
          <w14:textFill>
            <w14:solidFill>
              <w14:schemeClr w14:val="tx1"/>
            </w14:solidFill>
          </w14:textFill>
        </w:rPr>
      </w:pPr>
    </w:p>
    <w:p w14:paraId="53DABACA">
      <w:pPr>
        <w:widowControl w:val="0"/>
        <w:autoSpaceDE w:val="0"/>
        <w:autoSpaceDN w:val="0"/>
        <w:adjustRightInd w:val="0"/>
        <w:spacing w:line="360" w:lineRule="auto"/>
        <w:ind w:right="-30"/>
        <w:rPr>
          <w:rFonts w:ascii="Arial" w:hAnsi="Arial" w:cs="Arial"/>
          <w:color w:val="000000" w:themeColor="text1"/>
          <w:sz w:val="20"/>
          <w:szCs w:val="20"/>
          <w14:textFill>
            <w14:solidFill>
              <w14:schemeClr w14:val="tx1"/>
            </w14:solidFill>
          </w14:textFill>
        </w:rPr>
      </w:pPr>
      <w:r>
        <w:rPr>
          <w:rFonts w:ascii="Arial" w:hAnsi="Arial" w:cs="Arial"/>
          <w:color w:val="000000" w:themeColor="text1"/>
          <w:sz w:val="20"/>
          <w:szCs w:val="20"/>
          <w14:textFill>
            <w14:solidFill>
              <w14:schemeClr w14:val="tx1"/>
            </w14:solidFill>
          </w14:textFill>
        </w:rPr>
        <w:t xml:space="preserve">Santa Maria de Jetibá, </w:t>
      </w:r>
      <w:r>
        <w:rPr>
          <w:rFonts w:hint="default" w:ascii="Arial" w:hAnsi="Arial" w:cs="Arial"/>
          <w:color w:val="FF0000"/>
          <w:sz w:val="20"/>
          <w:szCs w:val="20"/>
          <w:highlight w:val="lightGray"/>
          <w:lang w:val="pt-BR"/>
        </w:rPr>
        <w:t>XX</w:t>
      </w:r>
      <w:r>
        <w:rPr>
          <w:rFonts w:ascii="Arial" w:hAnsi="Arial" w:cs="Arial"/>
          <w:color w:val="FF0000"/>
          <w:sz w:val="20"/>
          <w:szCs w:val="20"/>
          <w:highlight w:val="lightGray"/>
        </w:rPr>
        <w:t xml:space="preserve">, de </w:t>
      </w:r>
      <w:r>
        <w:rPr>
          <w:rFonts w:hint="default" w:ascii="Arial" w:hAnsi="Arial" w:cs="Arial"/>
          <w:color w:val="FF0000"/>
          <w:sz w:val="20"/>
          <w:szCs w:val="20"/>
          <w:highlight w:val="lightGray"/>
          <w:lang w:val="pt-BR"/>
        </w:rPr>
        <w:t>XXXX</w:t>
      </w:r>
      <w:r>
        <w:rPr>
          <w:rFonts w:ascii="Arial" w:hAnsi="Arial" w:cs="Arial"/>
          <w:color w:val="000000" w:themeColor="text1"/>
          <w:sz w:val="20"/>
          <w:szCs w:val="20"/>
          <w14:textFill>
            <w14:solidFill>
              <w14:schemeClr w14:val="tx1"/>
            </w14:solidFill>
          </w14:textFill>
        </w:rPr>
        <w:t xml:space="preserve"> de 202</w:t>
      </w:r>
      <w:r>
        <w:rPr>
          <w:rFonts w:hint="default" w:ascii="Arial" w:hAnsi="Arial" w:cs="Arial"/>
          <w:color w:val="000000" w:themeColor="text1"/>
          <w:sz w:val="20"/>
          <w:szCs w:val="20"/>
          <w:lang w:val="pt-BR"/>
          <w14:textFill>
            <w14:solidFill>
              <w14:schemeClr w14:val="tx1"/>
            </w14:solidFill>
          </w14:textFill>
        </w:rPr>
        <w:t>5</w:t>
      </w:r>
      <w:r>
        <w:rPr>
          <w:rFonts w:ascii="Arial" w:hAnsi="Arial" w:cs="Arial"/>
          <w:color w:val="000000" w:themeColor="text1"/>
          <w:sz w:val="20"/>
          <w:szCs w:val="20"/>
          <w14:textFill>
            <w14:solidFill>
              <w14:schemeClr w14:val="tx1"/>
            </w14:solidFill>
          </w14:textFill>
        </w:rPr>
        <w:t>.</w:t>
      </w:r>
    </w:p>
    <w:p w14:paraId="174757F4">
      <w:pPr>
        <w:widowControl w:val="0"/>
        <w:autoSpaceDE w:val="0"/>
        <w:autoSpaceDN w:val="0"/>
        <w:adjustRightInd w:val="0"/>
        <w:spacing w:line="360" w:lineRule="auto"/>
        <w:ind w:right="-30"/>
        <w:rPr>
          <w:rFonts w:ascii="Arial" w:hAnsi="Arial" w:cs="Arial"/>
          <w:color w:val="000000" w:themeColor="text1"/>
          <w:sz w:val="20"/>
          <w:szCs w:val="20"/>
          <w14:textFill>
            <w14:solidFill>
              <w14:schemeClr w14:val="tx1"/>
            </w14:solidFill>
          </w14:textFill>
        </w:rPr>
      </w:pPr>
    </w:p>
    <w:p w14:paraId="0E240DB5">
      <w:pPr>
        <w:widowControl w:val="0"/>
        <w:autoSpaceDE w:val="0"/>
        <w:autoSpaceDN w:val="0"/>
        <w:adjustRightInd w:val="0"/>
        <w:spacing w:line="360" w:lineRule="auto"/>
        <w:ind w:right="-30"/>
        <w:rPr>
          <w:rFonts w:ascii="Arial" w:hAnsi="Arial" w:cs="Arial"/>
          <w:color w:val="000000" w:themeColor="text1"/>
          <w:sz w:val="20"/>
          <w:szCs w:val="20"/>
          <w14:textFill>
            <w14:solidFill>
              <w14:schemeClr w14:val="tx1"/>
            </w14:solidFill>
          </w14:textFill>
        </w:rPr>
      </w:pPr>
    </w:p>
    <w:p w14:paraId="29CEF2E4">
      <w:pPr>
        <w:jc w:val="center"/>
        <w:rPr>
          <w:rFonts w:ascii="Arial" w:hAnsi="Arial" w:cs="Arial"/>
          <w:b/>
          <w:color w:val="000000" w:themeColor="text1"/>
          <w:sz w:val="20"/>
          <w14:textFill>
            <w14:solidFill>
              <w14:schemeClr w14:val="tx1"/>
            </w14:solidFill>
          </w14:textFill>
        </w:rPr>
      </w:pPr>
      <w:r>
        <w:rPr>
          <w:rFonts w:ascii="Arial" w:hAnsi="Arial" w:cs="Arial"/>
          <w:b/>
          <w:color w:val="000000" w:themeColor="text1"/>
          <w:sz w:val="20"/>
          <w14:textFill>
            <w14:solidFill>
              <w14:schemeClr w14:val="tx1"/>
            </w14:solidFill>
          </w14:textFill>
        </w:rPr>
        <w:t>MUNICÍPIO DE SANTA MARIA DE JETIBÁ</w:t>
      </w:r>
    </w:p>
    <w:p w14:paraId="060A915E">
      <w:pPr>
        <w:jc w:val="center"/>
        <w:rPr>
          <w:rFonts w:hint="default" w:ascii="Arial" w:hAnsi="Arial"/>
          <w:b/>
          <w:bCs/>
          <w:sz w:val="20"/>
        </w:rPr>
      </w:pPr>
      <w:r>
        <w:rPr>
          <w:rFonts w:hint="default" w:ascii="Arial" w:hAnsi="Arial"/>
          <w:b/>
          <w:bCs/>
          <w:sz w:val="20"/>
        </w:rPr>
        <w:t>RONAN ZOCOLOTO SOUZA DUTRA</w:t>
      </w:r>
    </w:p>
    <w:p w14:paraId="41441355">
      <w:pPr>
        <w:jc w:val="center"/>
        <w:rPr>
          <w:rFonts w:ascii="Arial" w:hAnsi="Arial" w:cs="Arial"/>
          <w:color w:val="000000" w:themeColor="text1"/>
          <w:sz w:val="20"/>
          <w14:textFill>
            <w14:solidFill>
              <w14:schemeClr w14:val="tx1"/>
            </w14:solidFill>
          </w14:textFill>
        </w:rPr>
      </w:pPr>
      <w:r>
        <w:rPr>
          <w:rFonts w:ascii="Arial" w:hAnsi="Arial" w:cs="Arial"/>
          <w:color w:val="000000" w:themeColor="text1"/>
          <w:sz w:val="20"/>
          <w14:textFill>
            <w14:solidFill>
              <w14:schemeClr w14:val="tx1"/>
            </w14:solidFill>
          </w14:textFill>
        </w:rPr>
        <w:t>Prefeito Municipal</w:t>
      </w:r>
    </w:p>
    <w:p w14:paraId="052C0C8F">
      <w:pPr>
        <w:jc w:val="center"/>
        <w:rPr>
          <w:rFonts w:ascii="Arial" w:hAnsi="Arial" w:cs="Arial"/>
          <w:color w:val="000000" w:themeColor="text1"/>
          <w:sz w:val="20"/>
          <w14:textFill>
            <w14:solidFill>
              <w14:schemeClr w14:val="tx1"/>
            </w14:solidFill>
          </w14:textFill>
        </w:rPr>
      </w:pPr>
    </w:p>
    <w:p w14:paraId="44A9009D">
      <w:pPr>
        <w:tabs>
          <w:tab w:val="center" w:pos="4252"/>
          <w:tab w:val="left" w:pos="5490"/>
        </w:tabs>
        <w:jc w:val="center"/>
        <w:rPr>
          <w:rFonts w:ascii="Arial" w:hAnsi="Arial" w:cs="Arial"/>
          <w:color w:val="000000" w:themeColor="text1"/>
          <w:sz w:val="20"/>
          <w14:textFill>
            <w14:solidFill>
              <w14:schemeClr w14:val="tx1"/>
            </w14:solidFill>
          </w14:textFill>
        </w:rPr>
      </w:pPr>
    </w:p>
    <w:p w14:paraId="1FBF78DE">
      <w:pPr>
        <w:tabs>
          <w:tab w:val="center" w:pos="4252"/>
          <w:tab w:val="left" w:pos="5490"/>
        </w:tabs>
        <w:jc w:val="center"/>
        <w:rPr>
          <w:rFonts w:ascii="Arial" w:hAnsi="Arial" w:cs="Arial"/>
          <w:color w:val="000000" w:themeColor="text1"/>
          <w:sz w:val="20"/>
          <w14:textFill>
            <w14:solidFill>
              <w14:schemeClr w14:val="tx1"/>
            </w14:solidFill>
          </w14:textFill>
        </w:rPr>
      </w:pPr>
    </w:p>
    <w:p w14:paraId="59081B8C">
      <w:pPr>
        <w:tabs>
          <w:tab w:val="center" w:pos="4252"/>
          <w:tab w:val="left" w:pos="5490"/>
        </w:tabs>
        <w:jc w:val="center"/>
        <w:rPr>
          <w:rFonts w:ascii="Arial" w:hAnsi="Arial" w:cs="Arial"/>
          <w:color w:val="000000" w:themeColor="text1"/>
          <w:sz w:val="20"/>
          <w14:textFill>
            <w14:solidFill>
              <w14:schemeClr w14:val="tx1"/>
            </w14:solidFill>
          </w14:textFill>
        </w:rPr>
      </w:pPr>
      <w:r>
        <w:rPr>
          <w:rFonts w:ascii="Arial" w:hAnsi="Arial" w:cs="Arial"/>
          <w:color w:val="000000" w:themeColor="text1"/>
          <w:sz w:val="20"/>
          <w14:textFill>
            <w14:solidFill>
              <w14:schemeClr w14:val="tx1"/>
            </w14:solidFill>
          </w14:textFill>
        </w:rPr>
        <w:t>____________________________________________________________</w:t>
      </w:r>
    </w:p>
    <w:p w14:paraId="1670748C">
      <w:pPr>
        <w:tabs>
          <w:tab w:val="center" w:pos="4252"/>
          <w:tab w:val="left" w:pos="5490"/>
        </w:tabs>
        <w:jc w:val="center"/>
        <w:rPr>
          <w:rFonts w:ascii="Arial" w:hAnsi="Arial" w:cs="Arial"/>
          <w:b/>
          <w:color w:val="000000" w:themeColor="text1"/>
          <w:sz w:val="20"/>
          <w14:textFill>
            <w14:solidFill>
              <w14:schemeClr w14:val="tx1"/>
            </w14:solidFill>
          </w14:textFill>
        </w:rPr>
      </w:pPr>
      <w:r>
        <w:rPr>
          <w:rFonts w:ascii="Arial" w:hAnsi="Arial" w:cs="Arial"/>
          <w:b/>
          <w:caps/>
          <w:color w:val="000000" w:themeColor="text1"/>
          <w:sz w:val="20"/>
          <w14:textFill>
            <w14:solidFill>
              <w14:schemeClr w14:val="tx1"/>
            </w14:solidFill>
          </w14:textFill>
        </w:rPr>
        <w:t>xxxxxx</w:t>
      </w:r>
    </w:p>
    <w:p w14:paraId="380B6417">
      <w:pPr>
        <w:tabs>
          <w:tab w:val="center" w:pos="4252"/>
          <w:tab w:val="left" w:pos="5490"/>
        </w:tabs>
        <w:jc w:val="center"/>
        <w:rPr>
          <w:rFonts w:ascii="Arial" w:hAnsi="Arial" w:cs="Arial"/>
          <w:b/>
          <w:color w:val="000000" w:themeColor="text1"/>
          <w:sz w:val="20"/>
          <w14:textFill>
            <w14:solidFill>
              <w14:schemeClr w14:val="tx1"/>
            </w14:solidFill>
          </w14:textFill>
        </w:rPr>
      </w:pPr>
      <w:r>
        <w:rPr>
          <w:rFonts w:ascii="Arial" w:hAnsi="Arial" w:cs="Arial"/>
          <w:b/>
          <w:color w:val="000000" w:themeColor="text1"/>
          <w:sz w:val="20"/>
          <w14:textFill>
            <w14:solidFill>
              <w14:schemeClr w14:val="tx1"/>
            </w14:solidFill>
          </w14:textFill>
        </w:rPr>
        <w:t>Xxxxxxxx</w:t>
      </w:r>
    </w:p>
    <w:p w14:paraId="57822536">
      <w:pPr>
        <w:widowControl w:val="0"/>
        <w:autoSpaceDE w:val="0"/>
        <w:autoSpaceDN w:val="0"/>
        <w:adjustRightInd w:val="0"/>
        <w:spacing w:line="360" w:lineRule="auto"/>
        <w:ind w:right="-30"/>
        <w:jc w:val="center"/>
        <w:rPr>
          <w:rFonts w:ascii="Arial" w:hAnsi="Arial" w:cs="Arial"/>
          <w:color w:val="000000" w:themeColor="text1"/>
          <w:sz w:val="20"/>
          <w:szCs w:val="20"/>
          <w14:textFill>
            <w14:solidFill>
              <w14:schemeClr w14:val="tx1"/>
            </w14:solidFill>
          </w14:textFill>
        </w:rPr>
      </w:pPr>
    </w:p>
    <w:p w14:paraId="17ABD679">
      <w:pPr>
        <w:widowControl w:val="0"/>
        <w:autoSpaceDE w:val="0"/>
        <w:autoSpaceDN w:val="0"/>
        <w:adjustRightInd w:val="0"/>
        <w:spacing w:line="360" w:lineRule="auto"/>
        <w:ind w:right="-30"/>
        <w:jc w:val="center"/>
        <w:rPr>
          <w:rFonts w:ascii="Arial" w:hAnsi="Arial" w:cs="Arial"/>
          <w:color w:val="000000" w:themeColor="text1"/>
          <w:sz w:val="20"/>
          <w:szCs w:val="20"/>
          <w14:textFill>
            <w14:solidFill>
              <w14:schemeClr w14:val="tx1"/>
            </w14:solidFill>
          </w14:textFill>
        </w:rPr>
      </w:pPr>
    </w:p>
    <w:p w14:paraId="342960B7">
      <w:pPr>
        <w:widowControl w:val="0"/>
        <w:autoSpaceDE w:val="0"/>
        <w:autoSpaceDN w:val="0"/>
        <w:adjustRightInd w:val="0"/>
        <w:spacing w:line="360" w:lineRule="auto"/>
        <w:ind w:right="-30"/>
        <w:jc w:val="both"/>
        <w:rPr>
          <w:rFonts w:ascii="Arial" w:hAnsi="Arial" w:cs="Arial"/>
          <w:color w:val="000000" w:themeColor="text1"/>
          <w:sz w:val="20"/>
          <w:szCs w:val="20"/>
          <w14:textFill>
            <w14:solidFill>
              <w14:schemeClr w14:val="tx1"/>
            </w14:solidFill>
          </w14:textFill>
        </w:rPr>
      </w:pPr>
    </w:p>
    <w:sectPr>
      <w:headerReference r:id="rId3" w:type="default"/>
      <w:pgSz w:w="11906" w:h="16838"/>
      <w:pgMar w:top="0" w:right="1134" w:bottom="758" w:left="1701" w:header="708" w:footer="94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Ecofont_Spranq_eco_Sans">
    <w:altName w:val="Calibri"/>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600E8">
    <w:pPr>
      <w:pStyle w:val="9"/>
      <w:jc w:val="center"/>
    </w:pPr>
    <w:r>
      <w:drawing>
        <wp:anchor distT="0" distB="0" distL="114300" distR="114300" simplePos="0" relativeHeight="251659264" behindDoc="1" locked="0" layoutInCell="1" allowOverlap="1">
          <wp:simplePos x="0" y="0"/>
          <wp:positionH relativeFrom="column">
            <wp:posOffset>619125</wp:posOffset>
          </wp:positionH>
          <wp:positionV relativeFrom="paragraph">
            <wp:posOffset>-131445</wp:posOffset>
          </wp:positionV>
          <wp:extent cx="4212590" cy="1130935"/>
          <wp:effectExtent l="0" t="0" r="0" b="0"/>
          <wp:wrapNone/>
          <wp:docPr id="1296115607" name="Imagem 1296115607" descr="CABEÇALHO SEM FU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115607" name="Imagem 1296115607" descr="CABEÇALHO SEM FUNDO"/>
                  <pic:cNvPicPr>
                    <a:picLocks noChangeAspect="1"/>
                  </pic:cNvPicPr>
                </pic:nvPicPr>
                <pic:blipFill>
                  <a:blip r:embed="rId1"/>
                  <a:stretch>
                    <a:fillRect/>
                  </a:stretch>
                </pic:blipFill>
                <pic:spPr>
                  <a:xfrm>
                    <a:off x="0" y="0"/>
                    <a:ext cx="4212590" cy="1130935"/>
                  </a:xfrm>
                  <a:prstGeom prst="rect">
                    <a:avLst/>
                  </a:prstGeom>
                </pic:spPr>
              </pic:pic>
            </a:graphicData>
          </a:graphic>
        </wp:anchor>
      </w:drawing>
    </w:r>
  </w:p>
  <w:p w14:paraId="38321CD9">
    <w:pPr>
      <w:pStyle w:val="9"/>
      <w:jc w:val="center"/>
      <w:rPr>
        <w:rFonts w:ascii="Times New Roman" w:hAnsi="Times New Roman" w:cs="Times New Roman"/>
        <w:b/>
        <w:bCs/>
      </w:rPr>
    </w:pPr>
  </w:p>
  <w:p w14:paraId="7AD390F4">
    <w:pPr>
      <w:pStyle w:val="9"/>
      <w:jc w:val="center"/>
      <w:rPr>
        <w:rFonts w:ascii="Times New Roman" w:hAnsi="Times New Roman" w:cs="Times New Roman"/>
        <w:b/>
        <w:bCs/>
      </w:rPr>
    </w:pPr>
  </w:p>
  <w:p w14:paraId="008FFA41">
    <w:pPr>
      <w:pStyle w:val="9"/>
      <w:jc w:val="center"/>
      <w:rPr>
        <w:rFonts w:ascii="Times New Roman" w:hAnsi="Times New Roman" w:cs="Times New Roman"/>
        <w:b/>
        <w:bCs/>
      </w:rPr>
    </w:pPr>
  </w:p>
  <w:p w14:paraId="0734C663">
    <w:pPr>
      <w:pStyle w:val="9"/>
      <w:jc w:val="center"/>
      <w:rPr>
        <w:rFonts w:ascii="Times New Roman" w:hAnsi="Times New Roman" w:cs="Times New Roman"/>
        <w:b/>
        <w:bCs/>
      </w:rPr>
    </w:pPr>
  </w:p>
  <w:p w14:paraId="3F918D6D">
    <w:pPr>
      <w:spacing w:after="288" w:afterLines="120" w:line="312" w:lineRule="auto"/>
      <w:jc w:val="center"/>
    </w:pPr>
    <w:r>
      <w:rPr>
        <w:rFonts w:ascii="Arial" w:hAnsi="Arial" w:cs="Arial"/>
        <w:b/>
        <w:bCs/>
        <w:color w:val="000000" w:themeColor="text1"/>
        <w:sz w:val="20"/>
        <w14:textFill>
          <w14:solidFill>
            <w14:schemeClr w14:val="tx1"/>
          </w14:solidFill>
        </w14:textFill>
      </w:rPr>
      <w:t>MODELO ATA DE REGISTRO DE PREÇOS</w:t>
    </w:r>
    <w:r>
      <w:rPr>
        <w:rFonts w:ascii="Arial" w:hAnsi="Arial" w:cs="Arial"/>
        <w:b/>
        <w:bCs/>
        <w:color w:val="000000" w:themeColor="text1"/>
        <w:sz w:val="20"/>
        <w14:textFill>
          <w14:solidFill>
            <w14:schemeClr w14:val="tx1"/>
          </w14:solidFill>
        </w14:textFill>
      </w:rPr>
      <w:br w:type="textWrapping"/>
    </w:r>
    <w:r>
      <w:rPr>
        <w:rFonts w:ascii="Arial" w:hAnsi="Arial" w:cs="Arial"/>
        <w:b/>
        <w:bCs/>
        <w:color w:val="000000" w:themeColor="text1"/>
        <w:sz w:val="20"/>
        <w14:textFill>
          <w14:solidFill>
            <w14:schemeClr w14:val="tx1"/>
          </w14:solidFill>
        </w14:textFill>
      </w:rPr>
      <w:t>Lei nº 14.133, de 1º de abril de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66183B"/>
    <w:multiLevelType w:val="multilevel"/>
    <w:tmpl w:val="4366183B"/>
    <w:lvl w:ilvl="0" w:tentative="0">
      <w:start w:val="1"/>
      <w:numFmt w:val="decimal"/>
      <w:pStyle w:val="26"/>
      <w:lvlText w:val="%1."/>
      <w:lvlJc w:val="left"/>
      <w:pPr>
        <w:ind w:left="360" w:hanging="360"/>
      </w:pPr>
      <w:rPr>
        <w:b/>
        <w:color w:val="auto"/>
      </w:rPr>
    </w:lvl>
    <w:lvl w:ilvl="1" w:tentative="0">
      <w:start w:val="1"/>
      <w:numFmt w:val="decimal"/>
      <w:pStyle w:val="32"/>
      <w:suff w:val="space"/>
      <w:lvlText w:val="%1.%2."/>
      <w:lvlJc w:val="left"/>
      <w:pPr>
        <w:ind w:left="0" w:leftChars="0" w:firstLine="0" w:firstLineChars="0"/>
      </w:pPr>
      <w:rPr>
        <w:sz w:val="20"/>
        <w:szCs w:val="20"/>
      </w:rPr>
    </w:lvl>
    <w:lvl w:ilvl="2" w:tentative="0">
      <w:start w:val="1"/>
      <w:numFmt w:val="decimal"/>
      <w:pStyle w:val="38"/>
      <w:suff w:val="space"/>
      <w:lvlText w:val="%1.%2.%3."/>
      <w:lvlJc w:val="left"/>
      <w:pPr>
        <w:ind w:left="0" w:leftChars="0" w:firstLine="0" w:firstLineChars="0"/>
      </w:pPr>
    </w:lvl>
    <w:lvl w:ilvl="3" w:tentative="0">
      <w:start w:val="1"/>
      <w:numFmt w:val="decimal"/>
      <w:pStyle w:val="41"/>
      <w:suff w:val="space"/>
      <w:lvlText w:val="%1.%2.%3.%4."/>
      <w:lvlJc w:val="left"/>
      <w:pPr>
        <w:ind w:left="0" w:leftChars="0" w:firstLine="0" w:firstLineChars="0"/>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removePersonalInformation/>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FC"/>
    <w:rsid w:val="00004ADD"/>
    <w:rsid w:val="0000620C"/>
    <w:rsid w:val="00006241"/>
    <w:rsid w:val="0001166A"/>
    <w:rsid w:val="00015512"/>
    <w:rsid w:val="00017BC2"/>
    <w:rsid w:val="0002269E"/>
    <w:rsid w:val="000439CC"/>
    <w:rsid w:val="0004488F"/>
    <w:rsid w:val="0005488C"/>
    <w:rsid w:val="000558FE"/>
    <w:rsid w:val="0006159B"/>
    <w:rsid w:val="00063172"/>
    <w:rsid w:val="00066588"/>
    <w:rsid w:val="00071D2C"/>
    <w:rsid w:val="0007424F"/>
    <w:rsid w:val="000814F3"/>
    <w:rsid w:val="00081CA0"/>
    <w:rsid w:val="00084F9F"/>
    <w:rsid w:val="00091113"/>
    <w:rsid w:val="0009741C"/>
    <w:rsid w:val="000A4CF7"/>
    <w:rsid w:val="000A5F80"/>
    <w:rsid w:val="000A6B33"/>
    <w:rsid w:val="000B1AEC"/>
    <w:rsid w:val="000B1E01"/>
    <w:rsid w:val="000B2C68"/>
    <w:rsid w:val="000B2EED"/>
    <w:rsid w:val="000B5FE7"/>
    <w:rsid w:val="000B7011"/>
    <w:rsid w:val="000C62A3"/>
    <w:rsid w:val="000D4F5C"/>
    <w:rsid w:val="000E2D96"/>
    <w:rsid w:val="000E53DF"/>
    <w:rsid w:val="000E55D0"/>
    <w:rsid w:val="000F1396"/>
    <w:rsid w:val="000F3685"/>
    <w:rsid w:val="000F4F59"/>
    <w:rsid w:val="0011246B"/>
    <w:rsid w:val="00113AE6"/>
    <w:rsid w:val="0011746B"/>
    <w:rsid w:val="00122461"/>
    <w:rsid w:val="00124FE3"/>
    <w:rsid w:val="001256C2"/>
    <w:rsid w:val="001262A7"/>
    <w:rsid w:val="001335C3"/>
    <w:rsid w:val="00133C51"/>
    <w:rsid w:val="00145619"/>
    <w:rsid w:val="0014613C"/>
    <w:rsid w:val="00146838"/>
    <w:rsid w:val="001551BF"/>
    <w:rsid w:val="00171379"/>
    <w:rsid w:val="00175D81"/>
    <w:rsid w:val="001770D2"/>
    <w:rsid w:val="00184497"/>
    <w:rsid w:val="001A4570"/>
    <w:rsid w:val="001B668B"/>
    <w:rsid w:val="001B7999"/>
    <w:rsid w:val="001D6851"/>
    <w:rsid w:val="001D6F7A"/>
    <w:rsid w:val="001E0C73"/>
    <w:rsid w:val="001E0D7C"/>
    <w:rsid w:val="001E6EEF"/>
    <w:rsid w:val="001F52A4"/>
    <w:rsid w:val="001F5E08"/>
    <w:rsid w:val="001F6040"/>
    <w:rsid w:val="001F7C3E"/>
    <w:rsid w:val="002038C8"/>
    <w:rsid w:val="00210AA6"/>
    <w:rsid w:val="002220F5"/>
    <w:rsid w:val="00227D9C"/>
    <w:rsid w:val="00246906"/>
    <w:rsid w:val="00250091"/>
    <w:rsid w:val="00253324"/>
    <w:rsid w:val="00260A13"/>
    <w:rsid w:val="00277151"/>
    <w:rsid w:val="002863E9"/>
    <w:rsid w:val="00295F12"/>
    <w:rsid w:val="00297FB8"/>
    <w:rsid w:val="002A0CD0"/>
    <w:rsid w:val="002A3BFA"/>
    <w:rsid w:val="002A6165"/>
    <w:rsid w:val="002B17AD"/>
    <w:rsid w:val="002B3CC9"/>
    <w:rsid w:val="002B3D1E"/>
    <w:rsid w:val="002B4BC4"/>
    <w:rsid w:val="002B66DE"/>
    <w:rsid w:val="002B6B17"/>
    <w:rsid w:val="002B7483"/>
    <w:rsid w:val="002C0964"/>
    <w:rsid w:val="002C26A9"/>
    <w:rsid w:val="002E2355"/>
    <w:rsid w:val="002E77E2"/>
    <w:rsid w:val="002F3DD6"/>
    <w:rsid w:val="002F4C05"/>
    <w:rsid w:val="002F5867"/>
    <w:rsid w:val="00310A99"/>
    <w:rsid w:val="00314D1D"/>
    <w:rsid w:val="00315BFD"/>
    <w:rsid w:val="00315FF7"/>
    <w:rsid w:val="00321B61"/>
    <w:rsid w:val="003240BD"/>
    <w:rsid w:val="00327A25"/>
    <w:rsid w:val="00331D1C"/>
    <w:rsid w:val="00346A9C"/>
    <w:rsid w:val="0038010D"/>
    <w:rsid w:val="00382C74"/>
    <w:rsid w:val="0038668D"/>
    <w:rsid w:val="00391422"/>
    <w:rsid w:val="00394561"/>
    <w:rsid w:val="00394E5B"/>
    <w:rsid w:val="003957E0"/>
    <w:rsid w:val="003A753F"/>
    <w:rsid w:val="003A7990"/>
    <w:rsid w:val="003B0C10"/>
    <w:rsid w:val="003B206A"/>
    <w:rsid w:val="003C017F"/>
    <w:rsid w:val="003C1C28"/>
    <w:rsid w:val="003C22A8"/>
    <w:rsid w:val="003C2835"/>
    <w:rsid w:val="003C4966"/>
    <w:rsid w:val="003C49EC"/>
    <w:rsid w:val="003D0548"/>
    <w:rsid w:val="003D0779"/>
    <w:rsid w:val="003D0F2F"/>
    <w:rsid w:val="003D16C1"/>
    <w:rsid w:val="003D6F7D"/>
    <w:rsid w:val="003D7429"/>
    <w:rsid w:val="003E3F0B"/>
    <w:rsid w:val="003E4109"/>
    <w:rsid w:val="003E7EC4"/>
    <w:rsid w:val="003F48DF"/>
    <w:rsid w:val="003F6E02"/>
    <w:rsid w:val="004104C2"/>
    <w:rsid w:val="00410950"/>
    <w:rsid w:val="00414DE2"/>
    <w:rsid w:val="00415889"/>
    <w:rsid w:val="0042684A"/>
    <w:rsid w:val="00433744"/>
    <w:rsid w:val="004405E7"/>
    <w:rsid w:val="00454D50"/>
    <w:rsid w:val="00462922"/>
    <w:rsid w:val="0047752E"/>
    <w:rsid w:val="0048050E"/>
    <w:rsid w:val="004811E3"/>
    <w:rsid w:val="00484F4D"/>
    <w:rsid w:val="00490D27"/>
    <w:rsid w:val="00497049"/>
    <w:rsid w:val="004A1D37"/>
    <w:rsid w:val="004A391F"/>
    <w:rsid w:val="004A5577"/>
    <w:rsid w:val="004A5D41"/>
    <w:rsid w:val="004B3ABF"/>
    <w:rsid w:val="004B54E5"/>
    <w:rsid w:val="004B7789"/>
    <w:rsid w:val="004C14E4"/>
    <w:rsid w:val="004D0365"/>
    <w:rsid w:val="004E1B1F"/>
    <w:rsid w:val="004E29D0"/>
    <w:rsid w:val="004E56C4"/>
    <w:rsid w:val="004F4C4E"/>
    <w:rsid w:val="004F5350"/>
    <w:rsid w:val="00501D89"/>
    <w:rsid w:val="00502ACD"/>
    <w:rsid w:val="00506231"/>
    <w:rsid w:val="00506BFD"/>
    <w:rsid w:val="005113BF"/>
    <w:rsid w:val="00511ED6"/>
    <w:rsid w:val="00520E7A"/>
    <w:rsid w:val="005460E6"/>
    <w:rsid w:val="00546C1C"/>
    <w:rsid w:val="00546FAA"/>
    <w:rsid w:val="00547AF7"/>
    <w:rsid w:val="00562578"/>
    <w:rsid w:val="00564517"/>
    <w:rsid w:val="005676C7"/>
    <w:rsid w:val="00575470"/>
    <w:rsid w:val="005803CB"/>
    <w:rsid w:val="00586901"/>
    <w:rsid w:val="00590DA7"/>
    <w:rsid w:val="0059391C"/>
    <w:rsid w:val="005A6E38"/>
    <w:rsid w:val="005B2F3B"/>
    <w:rsid w:val="005C11E8"/>
    <w:rsid w:val="005C3C43"/>
    <w:rsid w:val="005C526F"/>
    <w:rsid w:val="005F295F"/>
    <w:rsid w:val="005F6486"/>
    <w:rsid w:val="0060348D"/>
    <w:rsid w:val="00603634"/>
    <w:rsid w:val="00605B9F"/>
    <w:rsid w:val="006063A3"/>
    <w:rsid w:val="0062258C"/>
    <w:rsid w:val="0062376C"/>
    <w:rsid w:val="00624537"/>
    <w:rsid w:val="00630A10"/>
    <w:rsid w:val="00631E43"/>
    <w:rsid w:val="00632B8C"/>
    <w:rsid w:val="00636001"/>
    <w:rsid w:val="006362AE"/>
    <w:rsid w:val="006415B5"/>
    <w:rsid w:val="00641AEE"/>
    <w:rsid w:val="00646738"/>
    <w:rsid w:val="006468EA"/>
    <w:rsid w:val="00657E73"/>
    <w:rsid w:val="006610CA"/>
    <w:rsid w:val="006612B2"/>
    <w:rsid w:val="0066278D"/>
    <w:rsid w:val="00666393"/>
    <w:rsid w:val="00666FEB"/>
    <w:rsid w:val="0066751B"/>
    <w:rsid w:val="00673105"/>
    <w:rsid w:val="00674838"/>
    <w:rsid w:val="00675F59"/>
    <w:rsid w:val="0068120E"/>
    <w:rsid w:val="00681E19"/>
    <w:rsid w:val="0069006D"/>
    <w:rsid w:val="00695BA0"/>
    <w:rsid w:val="006A5244"/>
    <w:rsid w:val="006A7A1A"/>
    <w:rsid w:val="006C3A88"/>
    <w:rsid w:val="006C42DC"/>
    <w:rsid w:val="006D2937"/>
    <w:rsid w:val="006D4D8C"/>
    <w:rsid w:val="006D4E31"/>
    <w:rsid w:val="006E1828"/>
    <w:rsid w:val="006F4AD1"/>
    <w:rsid w:val="006F5010"/>
    <w:rsid w:val="00700A54"/>
    <w:rsid w:val="00703FD0"/>
    <w:rsid w:val="0071081A"/>
    <w:rsid w:val="00716FC7"/>
    <w:rsid w:val="0072377B"/>
    <w:rsid w:val="00731D8E"/>
    <w:rsid w:val="00733E8B"/>
    <w:rsid w:val="00734ADF"/>
    <w:rsid w:val="00736DA7"/>
    <w:rsid w:val="0075324E"/>
    <w:rsid w:val="0075420C"/>
    <w:rsid w:val="0077015C"/>
    <w:rsid w:val="00784E3B"/>
    <w:rsid w:val="007925FC"/>
    <w:rsid w:val="007A4966"/>
    <w:rsid w:val="007B150D"/>
    <w:rsid w:val="007B2846"/>
    <w:rsid w:val="007B3400"/>
    <w:rsid w:val="007B3995"/>
    <w:rsid w:val="007B596E"/>
    <w:rsid w:val="007C2805"/>
    <w:rsid w:val="007C6563"/>
    <w:rsid w:val="007C6E51"/>
    <w:rsid w:val="007D4B25"/>
    <w:rsid w:val="007E381F"/>
    <w:rsid w:val="007F633D"/>
    <w:rsid w:val="00801DAC"/>
    <w:rsid w:val="00802289"/>
    <w:rsid w:val="008043C4"/>
    <w:rsid w:val="0081037F"/>
    <w:rsid w:val="00811D42"/>
    <w:rsid w:val="0081278D"/>
    <w:rsid w:val="00815EE5"/>
    <w:rsid w:val="008166F1"/>
    <w:rsid w:val="00821F71"/>
    <w:rsid w:val="00822079"/>
    <w:rsid w:val="00825FDD"/>
    <w:rsid w:val="00833C36"/>
    <w:rsid w:val="00834DD2"/>
    <w:rsid w:val="0084417D"/>
    <w:rsid w:val="00851AEB"/>
    <w:rsid w:val="00866CC7"/>
    <w:rsid w:val="00870788"/>
    <w:rsid w:val="00870EBB"/>
    <w:rsid w:val="00882690"/>
    <w:rsid w:val="00884A85"/>
    <w:rsid w:val="00890185"/>
    <w:rsid w:val="00890709"/>
    <w:rsid w:val="00893488"/>
    <w:rsid w:val="00893D82"/>
    <w:rsid w:val="00894D94"/>
    <w:rsid w:val="00897794"/>
    <w:rsid w:val="008A077D"/>
    <w:rsid w:val="008C0DC1"/>
    <w:rsid w:val="008C1702"/>
    <w:rsid w:val="008C274B"/>
    <w:rsid w:val="008D1157"/>
    <w:rsid w:val="008D257D"/>
    <w:rsid w:val="008E1884"/>
    <w:rsid w:val="008E440E"/>
    <w:rsid w:val="008F6BA6"/>
    <w:rsid w:val="0090157C"/>
    <w:rsid w:val="00907E5C"/>
    <w:rsid w:val="00910DBE"/>
    <w:rsid w:val="00922EEE"/>
    <w:rsid w:val="00925FB8"/>
    <w:rsid w:val="00931989"/>
    <w:rsid w:val="0094339A"/>
    <w:rsid w:val="00943891"/>
    <w:rsid w:val="009538D2"/>
    <w:rsid w:val="00954341"/>
    <w:rsid w:val="0095745C"/>
    <w:rsid w:val="0096123D"/>
    <w:rsid w:val="009706ED"/>
    <w:rsid w:val="0097155D"/>
    <w:rsid w:val="00972386"/>
    <w:rsid w:val="0097278B"/>
    <w:rsid w:val="009752D5"/>
    <w:rsid w:val="00976D88"/>
    <w:rsid w:val="009773EA"/>
    <w:rsid w:val="00982132"/>
    <w:rsid w:val="009832AD"/>
    <w:rsid w:val="0098354B"/>
    <w:rsid w:val="0099111B"/>
    <w:rsid w:val="00992BB5"/>
    <w:rsid w:val="00995EE3"/>
    <w:rsid w:val="009B6143"/>
    <w:rsid w:val="009C5E2C"/>
    <w:rsid w:val="009C76A5"/>
    <w:rsid w:val="009C7812"/>
    <w:rsid w:val="009D3DB6"/>
    <w:rsid w:val="009D6CCC"/>
    <w:rsid w:val="009E0C3C"/>
    <w:rsid w:val="009E4099"/>
    <w:rsid w:val="009E58D2"/>
    <w:rsid w:val="009F0D53"/>
    <w:rsid w:val="009F34AB"/>
    <w:rsid w:val="009F527E"/>
    <w:rsid w:val="00A1191B"/>
    <w:rsid w:val="00A13386"/>
    <w:rsid w:val="00A2090C"/>
    <w:rsid w:val="00A241EC"/>
    <w:rsid w:val="00A25880"/>
    <w:rsid w:val="00A25D1D"/>
    <w:rsid w:val="00A31D23"/>
    <w:rsid w:val="00A43047"/>
    <w:rsid w:val="00A45D50"/>
    <w:rsid w:val="00A5121D"/>
    <w:rsid w:val="00A527BD"/>
    <w:rsid w:val="00A55054"/>
    <w:rsid w:val="00A57128"/>
    <w:rsid w:val="00A57D0E"/>
    <w:rsid w:val="00A70AA5"/>
    <w:rsid w:val="00A77E87"/>
    <w:rsid w:val="00A84930"/>
    <w:rsid w:val="00A907B5"/>
    <w:rsid w:val="00A97871"/>
    <w:rsid w:val="00A97F9D"/>
    <w:rsid w:val="00AA1D45"/>
    <w:rsid w:val="00AA3CAB"/>
    <w:rsid w:val="00AA4D59"/>
    <w:rsid w:val="00AB0846"/>
    <w:rsid w:val="00AD1FC3"/>
    <w:rsid w:val="00AD2325"/>
    <w:rsid w:val="00AE076C"/>
    <w:rsid w:val="00AF2BFF"/>
    <w:rsid w:val="00B05AF8"/>
    <w:rsid w:val="00B064D8"/>
    <w:rsid w:val="00B0678A"/>
    <w:rsid w:val="00B10156"/>
    <w:rsid w:val="00B15B12"/>
    <w:rsid w:val="00B16A5B"/>
    <w:rsid w:val="00B16E35"/>
    <w:rsid w:val="00B234D0"/>
    <w:rsid w:val="00B337B5"/>
    <w:rsid w:val="00B35C29"/>
    <w:rsid w:val="00B438A7"/>
    <w:rsid w:val="00B4636C"/>
    <w:rsid w:val="00B46698"/>
    <w:rsid w:val="00B510C6"/>
    <w:rsid w:val="00B5540B"/>
    <w:rsid w:val="00B63412"/>
    <w:rsid w:val="00B63622"/>
    <w:rsid w:val="00B7252A"/>
    <w:rsid w:val="00B73903"/>
    <w:rsid w:val="00B73D61"/>
    <w:rsid w:val="00B73E47"/>
    <w:rsid w:val="00B829AB"/>
    <w:rsid w:val="00B85E10"/>
    <w:rsid w:val="00B86157"/>
    <w:rsid w:val="00B865F5"/>
    <w:rsid w:val="00B917B0"/>
    <w:rsid w:val="00B92BCC"/>
    <w:rsid w:val="00B94E10"/>
    <w:rsid w:val="00BB5309"/>
    <w:rsid w:val="00BB7895"/>
    <w:rsid w:val="00BC690B"/>
    <w:rsid w:val="00BC6F6E"/>
    <w:rsid w:val="00BE0ED4"/>
    <w:rsid w:val="00BE3CEE"/>
    <w:rsid w:val="00BE5F80"/>
    <w:rsid w:val="00BE6356"/>
    <w:rsid w:val="00BE6EA8"/>
    <w:rsid w:val="00BF323F"/>
    <w:rsid w:val="00BF48C7"/>
    <w:rsid w:val="00C017AF"/>
    <w:rsid w:val="00C05076"/>
    <w:rsid w:val="00C07B9D"/>
    <w:rsid w:val="00C1232D"/>
    <w:rsid w:val="00C12E5F"/>
    <w:rsid w:val="00C14768"/>
    <w:rsid w:val="00C159F6"/>
    <w:rsid w:val="00C44D47"/>
    <w:rsid w:val="00C47DB0"/>
    <w:rsid w:val="00C507A4"/>
    <w:rsid w:val="00C5111B"/>
    <w:rsid w:val="00C56ABC"/>
    <w:rsid w:val="00C63E3D"/>
    <w:rsid w:val="00C65004"/>
    <w:rsid w:val="00C74737"/>
    <w:rsid w:val="00C7618D"/>
    <w:rsid w:val="00C7693F"/>
    <w:rsid w:val="00C82CB6"/>
    <w:rsid w:val="00C83422"/>
    <w:rsid w:val="00C86CD7"/>
    <w:rsid w:val="00C949D9"/>
    <w:rsid w:val="00C97B29"/>
    <w:rsid w:val="00CB3602"/>
    <w:rsid w:val="00CB3B1F"/>
    <w:rsid w:val="00CB46FC"/>
    <w:rsid w:val="00CB63DE"/>
    <w:rsid w:val="00CC6D67"/>
    <w:rsid w:val="00CC6EE8"/>
    <w:rsid w:val="00CE69DA"/>
    <w:rsid w:val="00CF4619"/>
    <w:rsid w:val="00D00F43"/>
    <w:rsid w:val="00D0123A"/>
    <w:rsid w:val="00D022C3"/>
    <w:rsid w:val="00D10B9F"/>
    <w:rsid w:val="00D11476"/>
    <w:rsid w:val="00D117B5"/>
    <w:rsid w:val="00D13B70"/>
    <w:rsid w:val="00D14105"/>
    <w:rsid w:val="00D1456C"/>
    <w:rsid w:val="00D17BE6"/>
    <w:rsid w:val="00D4329D"/>
    <w:rsid w:val="00D44329"/>
    <w:rsid w:val="00D456B1"/>
    <w:rsid w:val="00D50B23"/>
    <w:rsid w:val="00D5101F"/>
    <w:rsid w:val="00D512DC"/>
    <w:rsid w:val="00D52599"/>
    <w:rsid w:val="00D52993"/>
    <w:rsid w:val="00D60FAE"/>
    <w:rsid w:val="00D6305E"/>
    <w:rsid w:val="00D63A70"/>
    <w:rsid w:val="00D66100"/>
    <w:rsid w:val="00D73226"/>
    <w:rsid w:val="00D75EDD"/>
    <w:rsid w:val="00D8054F"/>
    <w:rsid w:val="00D82B47"/>
    <w:rsid w:val="00D82CD7"/>
    <w:rsid w:val="00D85ACD"/>
    <w:rsid w:val="00D90740"/>
    <w:rsid w:val="00D939FB"/>
    <w:rsid w:val="00D93BBF"/>
    <w:rsid w:val="00D94DA3"/>
    <w:rsid w:val="00D96A54"/>
    <w:rsid w:val="00DA45E5"/>
    <w:rsid w:val="00DB6DA9"/>
    <w:rsid w:val="00DC1B9F"/>
    <w:rsid w:val="00DC4FC8"/>
    <w:rsid w:val="00DD5FF3"/>
    <w:rsid w:val="00DE6C20"/>
    <w:rsid w:val="00DF4FD2"/>
    <w:rsid w:val="00DF61B6"/>
    <w:rsid w:val="00E028EF"/>
    <w:rsid w:val="00E11D1B"/>
    <w:rsid w:val="00E11D5F"/>
    <w:rsid w:val="00E23556"/>
    <w:rsid w:val="00E23EFF"/>
    <w:rsid w:val="00E274E3"/>
    <w:rsid w:val="00E337AE"/>
    <w:rsid w:val="00E35C20"/>
    <w:rsid w:val="00E46CE5"/>
    <w:rsid w:val="00E5794B"/>
    <w:rsid w:val="00E60459"/>
    <w:rsid w:val="00E607DC"/>
    <w:rsid w:val="00E60AC2"/>
    <w:rsid w:val="00E625B3"/>
    <w:rsid w:val="00E70C1E"/>
    <w:rsid w:val="00E8683B"/>
    <w:rsid w:val="00E90D8C"/>
    <w:rsid w:val="00EA0EE1"/>
    <w:rsid w:val="00EA2ED3"/>
    <w:rsid w:val="00EB3B67"/>
    <w:rsid w:val="00EB4B4C"/>
    <w:rsid w:val="00EC0980"/>
    <w:rsid w:val="00EC3A79"/>
    <w:rsid w:val="00EC52C9"/>
    <w:rsid w:val="00ED17E8"/>
    <w:rsid w:val="00ED3176"/>
    <w:rsid w:val="00EE0CDC"/>
    <w:rsid w:val="00EE72CE"/>
    <w:rsid w:val="00EF3535"/>
    <w:rsid w:val="00EF3DA5"/>
    <w:rsid w:val="00EF48FC"/>
    <w:rsid w:val="00EF4F82"/>
    <w:rsid w:val="00F014F0"/>
    <w:rsid w:val="00F11497"/>
    <w:rsid w:val="00F11C4D"/>
    <w:rsid w:val="00F12A31"/>
    <w:rsid w:val="00F16593"/>
    <w:rsid w:val="00F17655"/>
    <w:rsid w:val="00F2788D"/>
    <w:rsid w:val="00F3259D"/>
    <w:rsid w:val="00F34F83"/>
    <w:rsid w:val="00F35BD7"/>
    <w:rsid w:val="00F404B0"/>
    <w:rsid w:val="00F453F5"/>
    <w:rsid w:val="00F45F42"/>
    <w:rsid w:val="00F610E7"/>
    <w:rsid w:val="00F6129D"/>
    <w:rsid w:val="00F621CD"/>
    <w:rsid w:val="00F63392"/>
    <w:rsid w:val="00F77F32"/>
    <w:rsid w:val="00F86C25"/>
    <w:rsid w:val="00F949DC"/>
    <w:rsid w:val="00F95F17"/>
    <w:rsid w:val="00FB41A6"/>
    <w:rsid w:val="00FB57EF"/>
    <w:rsid w:val="00FB5AAA"/>
    <w:rsid w:val="00FB6A43"/>
    <w:rsid w:val="00FC6C7F"/>
    <w:rsid w:val="00FC7DAC"/>
    <w:rsid w:val="00FD040B"/>
    <w:rsid w:val="00FD3933"/>
    <w:rsid w:val="00FD7CFF"/>
    <w:rsid w:val="00FE4B87"/>
    <w:rsid w:val="00FE53B6"/>
    <w:rsid w:val="00FE5714"/>
    <w:rsid w:val="00FE5C12"/>
    <w:rsid w:val="00FE608F"/>
    <w:rsid w:val="00FE659B"/>
    <w:rsid w:val="00FE6646"/>
    <w:rsid w:val="00FF0A80"/>
    <w:rsid w:val="033C405D"/>
    <w:rsid w:val="06E32767"/>
    <w:rsid w:val="09250A13"/>
    <w:rsid w:val="0FF04CFD"/>
    <w:rsid w:val="1015446E"/>
    <w:rsid w:val="13938DA0"/>
    <w:rsid w:val="17BA200F"/>
    <w:rsid w:val="184DD666"/>
    <w:rsid w:val="1CC80926"/>
    <w:rsid w:val="1E2E32D9"/>
    <w:rsid w:val="1FC16CA3"/>
    <w:rsid w:val="22202C8C"/>
    <w:rsid w:val="241F1A22"/>
    <w:rsid w:val="246918CD"/>
    <w:rsid w:val="25A95E18"/>
    <w:rsid w:val="27901D41"/>
    <w:rsid w:val="2D287169"/>
    <w:rsid w:val="2F202964"/>
    <w:rsid w:val="32B05F46"/>
    <w:rsid w:val="330C1BBF"/>
    <w:rsid w:val="348C9DA7"/>
    <w:rsid w:val="36023277"/>
    <w:rsid w:val="36F72004"/>
    <w:rsid w:val="3B2650FC"/>
    <w:rsid w:val="3CAD6F35"/>
    <w:rsid w:val="3E386539"/>
    <w:rsid w:val="3FF16CE8"/>
    <w:rsid w:val="40111287"/>
    <w:rsid w:val="416B49C1"/>
    <w:rsid w:val="45D034C9"/>
    <w:rsid w:val="46502609"/>
    <w:rsid w:val="4667038F"/>
    <w:rsid w:val="46E8323A"/>
    <w:rsid w:val="49DB137F"/>
    <w:rsid w:val="49E87C3B"/>
    <w:rsid w:val="4BE1010B"/>
    <w:rsid w:val="4CDDC88E"/>
    <w:rsid w:val="4D131782"/>
    <w:rsid w:val="4D7636F6"/>
    <w:rsid w:val="54563AC4"/>
    <w:rsid w:val="57BE40AC"/>
    <w:rsid w:val="58E0E03C"/>
    <w:rsid w:val="5A3F7C21"/>
    <w:rsid w:val="5EBCF017"/>
    <w:rsid w:val="5F7D6933"/>
    <w:rsid w:val="6744444C"/>
    <w:rsid w:val="68693658"/>
    <w:rsid w:val="693875A3"/>
    <w:rsid w:val="696377E5"/>
    <w:rsid w:val="6D491066"/>
    <w:rsid w:val="6D5F2652"/>
    <w:rsid w:val="75874799"/>
    <w:rsid w:val="7B9D9422"/>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doNotIncludeSubdocsInStats/>
  <w14:defaultImageDpi w14:val="33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unhideWhenUsed="0" w:uiPriority="0" w:semiHidden="0" w:name="Strong"/>
    <w:lsdException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Ecofont_Spranq_eco_Sans" w:hAnsi="Ecofont_Spranq_eco_Sans" w:eastAsia="Times New Roman" w:cs="Tahoma"/>
      <w:sz w:val="24"/>
      <w:szCs w:val="24"/>
      <w:lang w:val="pt-BR" w:eastAsia="pt-BR" w:bidi="ar-SA"/>
    </w:rPr>
  </w:style>
  <w:style w:type="paragraph" w:styleId="2">
    <w:name w:val="heading 1"/>
    <w:basedOn w:val="1"/>
    <w:next w:val="1"/>
    <w:link w:val="24"/>
    <w:qFormat/>
    <w:uiPriority w:val="0"/>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annotation reference"/>
    <w:basedOn w:val="3"/>
    <w:unhideWhenUsed/>
    <w:qFormat/>
    <w:uiPriority w:val="0"/>
    <w:rPr>
      <w:sz w:val="16"/>
      <w:szCs w:val="16"/>
    </w:rPr>
  </w:style>
  <w:style w:type="character" w:styleId="6">
    <w:name w:val="Hyperlink"/>
    <w:unhideWhenUsed/>
    <w:qFormat/>
    <w:uiPriority w:val="99"/>
    <w:rPr>
      <w:color w:val="0000FF"/>
      <w:u w:val="single"/>
    </w:rPr>
  </w:style>
  <w:style w:type="paragraph" w:styleId="7">
    <w:name w:val="Body Text"/>
    <w:basedOn w:val="1"/>
    <w:link w:val="15"/>
    <w:unhideWhenUsed/>
    <w:qFormat/>
    <w:uiPriority w:val="99"/>
    <w:pPr>
      <w:spacing w:before="100" w:beforeAutospacing="1" w:after="100" w:afterAutospacing="1"/>
    </w:pPr>
    <w:rPr>
      <w:rFonts w:ascii="Times New Roman" w:hAnsi="Times New Roman" w:cs="Times New Roman"/>
    </w:rPr>
  </w:style>
  <w:style w:type="paragraph" w:styleId="8">
    <w:name w:val="annotation text"/>
    <w:basedOn w:val="1"/>
    <w:link w:val="27"/>
    <w:unhideWhenUsed/>
    <w:qFormat/>
    <w:uiPriority w:val="0"/>
    <w:rPr>
      <w:sz w:val="20"/>
      <w:szCs w:val="20"/>
    </w:rPr>
  </w:style>
  <w:style w:type="paragraph" w:styleId="9">
    <w:name w:val="header"/>
    <w:basedOn w:val="1"/>
    <w:link w:val="17"/>
    <w:unhideWhenUsed/>
    <w:qFormat/>
    <w:uiPriority w:val="0"/>
    <w:pPr>
      <w:tabs>
        <w:tab w:val="center" w:pos="4252"/>
        <w:tab w:val="right" w:pos="8504"/>
      </w:tabs>
    </w:pPr>
  </w:style>
  <w:style w:type="paragraph" w:styleId="10">
    <w:name w:val="annotation subject"/>
    <w:basedOn w:val="8"/>
    <w:next w:val="8"/>
    <w:link w:val="28"/>
    <w:semiHidden/>
    <w:unhideWhenUsed/>
    <w:qFormat/>
    <w:uiPriority w:val="0"/>
    <w:rPr>
      <w:b/>
      <w:bCs/>
    </w:rPr>
  </w:style>
  <w:style w:type="paragraph" w:styleId="11">
    <w:name w:val="footer"/>
    <w:basedOn w:val="1"/>
    <w:link w:val="18"/>
    <w:unhideWhenUsed/>
    <w:qFormat/>
    <w:uiPriority w:val="99"/>
    <w:pPr>
      <w:tabs>
        <w:tab w:val="center" w:pos="4252"/>
        <w:tab w:val="right" w:pos="8504"/>
      </w:tabs>
    </w:pPr>
  </w:style>
  <w:style w:type="paragraph" w:styleId="12">
    <w:name w:val="Balloon Text"/>
    <w:basedOn w:val="1"/>
    <w:link w:val="29"/>
    <w:semiHidden/>
    <w:unhideWhenUsed/>
    <w:qFormat/>
    <w:uiPriority w:val="0"/>
    <w:rPr>
      <w:rFonts w:ascii="Segoe UI" w:hAnsi="Segoe UI" w:cs="Segoe UI"/>
      <w:sz w:val="18"/>
      <w:szCs w:val="18"/>
    </w:rPr>
  </w:style>
  <w:style w:type="paragraph" w:customStyle="1" w:styleId="13">
    <w:name w:val="Grade Colorida - Ênfase 11"/>
    <w:basedOn w:val="1"/>
    <w:next w:val="1"/>
    <w:link w:val="14"/>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sz w:val="20"/>
      <w:lang w:eastAsia="en-US"/>
    </w:rPr>
  </w:style>
  <w:style w:type="character" w:customStyle="1" w:styleId="14">
    <w:name w:val="Grade Colorida - Ênfase 1 Char"/>
    <w:link w:val="13"/>
    <w:qFormat/>
    <w:uiPriority w:val="0"/>
    <w:rPr>
      <w:rFonts w:ascii="Ecofont_Spranq_eco_Sans" w:hAnsi="Ecofont_Spranq_eco_Sans" w:eastAsia="Calibri" w:cs="Tahoma"/>
      <w:i/>
      <w:iCs/>
      <w:color w:val="000000"/>
      <w:szCs w:val="24"/>
      <w:lang w:val="pt-BR" w:eastAsia="en-US" w:bidi="ar-SA"/>
    </w:rPr>
  </w:style>
  <w:style w:type="character" w:customStyle="1" w:styleId="15">
    <w:name w:val="Corpo de texto Char"/>
    <w:link w:val="7"/>
    <w:qFormat/>
    <w:uiPriority w:val="99"/>
    <w:rPr>
      <w:sz w:val="24"/>
      <w:szCs w:val="24"/>
    </w:rPr>
  </w:style>
  <w:style w:type="paragraph" w:styleId="16">
    <w:name w:val="List Paragraph"/>
    <w:basedOn w:val="1"/>
    <w:qFormat/>
    <w:uiPriority w:val="34"/>
    <w:pPr>
      <w:ind w:left="720"/>
      <w:contextualSpacing/>
    </w:pPr>
  </w:style>
  <w:style w:type="character" w:customStyle="1" w:styleId="17">
    <w:name w:val="Cabeçalho Char"/>
    <w:basedOn w:val="3"/>
    <w:link w:val="9"/>
    <w:qFormat/>
    <w:uiPriority w:val="0"/>
    <w:rPr>
      <w:rFonts w:ascii="Ecofont_Spranq_eco_Sans" w:hAnsi="Ecofont_Spranq_eco_Sans" w:cs="Tahoma"/>
      <w:sz w:val="24"/>
      <w:szCs w:val="24"/>
    </w:rPr>
  </w:style>
  <w:style w:type="character" w:customStyle="1" w:styleId="18">
    <w:name w:val="Rodapé Char"/>
    <w:basedOn w:val="3"/>
    <w:link w:val="11"/>
    <w:qFormat/>
    <w:uiPriority w:val="99"/>
    <w:rPr>
      <w:rFonts w:ascii="Ecofont_Spranq_eco_Sans" w:hAnsi="Ecofont_Spranq_eco_Sans" w:cs="Tahoma"/>
      <w:sz w:val="24"/>
      <w:szCs w:val="24"/>
    </w:rPr>
  </w:style>
  <w:style w:type="paragraph" w:customStyle="1" w:styleId="19">
    <w:name w:val="citação 2"/>
    <w:basedOn w:val="20"/>
    <w:link w:val="2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olor w:val="000000"/>
      <w:lang w:eastAsia="en-US"/>
    </w:rPr>
  </w:style>
  <w:style w:type="paragraph" w:styleId="20">
    <w:name w:val="Quote"/>
    <w:basedOn w:val="1"/>
    <w:next w:val="1"/>
    <w:link w:val="22"/>
    <w:qFormat/>
    <w:uiPriority w:val="29"/>
    <w:rPr>
      <w:i/>
      <w:iCs/>
      <w:color w:val="000000" w:themeColor="text1"/>
      <w14:textFill>
        <w14:solidFill>
          <w14:schemeClr w14:val="tx1"/>
        </w14:solidFill>
      </w14:textFill>
    </w:rPr>
  </w:style>
  <w:style w:type="character" w:customStyle="1" w:styleId="21">
    <w:name w:val="citação 2 Char"/>
    <w:basedOn w:val="22"/>
    <w:link w:val="19"/>
    <w:qFormat/>
    <w:uiPriority w:val="0"/>
    <w:rPr>
      <w:rFonts w:ascii="Ecofont_Spranq_eco_Sans" w:hAnsi="Ecofont_Spranq_eco_Sans" w:eastAsia="Calibri" w:cs="Tahoma"/>
      <w:color w:val="000000"/>
      <w:sz w:val="24"/>
      <w:szCs w:val="24"/>
      <w:shd w:val="clear" w:color="auto" w:fill="FFFFCC"/>
      <w:lang w:eastAsia="en-US"/>
    </w:rPr>
  </w:style>
  <w:style w:type="character" w:customStyle="1" w:styleId="22">
    <w:name w:val="Citação Char"/>
    <w:basedOn w:val="3"/>
    <w:link w:val="20"/>
    <w:qFormat/>
    <w:uiPriority w:val="29"/>
    <w:rPr>
      <w:rFonts w:ascii="Ecofont_Spranq_eco_Sans" w:hAnsi="Ecofont_Spranq_eco_Sans" w:cs="Tahoma"/>
      <w:i/>
      <w:iCs/>
      <w:color w:val="000000" w:themeColor="text1"/>
      <w:sz w:val="24"/>
      <w:szCs w:val="24"/>
      <w14:textFill>
        <w14:solidFill>
          <w14:schemeClr w14:val="tx1"/>
        </w14:solidFill>
      </w14:textFill>
    </w:rPr>
  </w:style>
  <w:style w:type="paragraph" w:customStyle="1" w:styleId="23">
    <w:name w:val="Nivel1"/>
    <w:basedOn w:val="2"/>
    <w:next w:val="1"/>
    <w:link w:val="25"/>
    <w:qFormat/>
    <w:uiPriority w:val="0"/>
    <w:pPr>
      <w:widowControl w:val="0"/>
      <w:autoSpaceDE w:val="0"/>
      <w:autoSpaceDN w:val="0"/>
      <w:adjustRightInd w:val="0"/>
      <w:spacing w:after="120" w:line="276" w:lineRule="auto"/>
      <w:ind w:left="360" w:hanging="360"/>
      <w:jc w:val="both"/>
    </w:pPr>
    <w:rPr>
      <w:rFonts w:ascii="Arial" w:hAnsi="Arial" w:cs="Arial"/>
      <w:color w:val="auto"/>
      <w:sz w:val="20"/>
      <w:szCs w:val="20"/>
    </w:rPr>
  </w:style>
  <w:style w:type="character" w:customStyle="1" w:styleId="24">
    <w:name w:val="Título 1 Char"/>
    <w:basedOn w:val="3"/>
    <w:link w:val="2"/>
    <w:qFormat/>
    <w:uiPriority w:val="0"/>
    <w:rPr>
      <w:rFonts w:asciiTheme="majorHAnsi" w:hAnsiTheme="majorHAnsi" w:eastAsiaTheme="majorEastAsia" w:cstheme="majorBidi"/>
      <w:b/>
      <w:bCs/>
      <w:color w:val="376092" w:themeColor="accent1" w:themeShade="BF"/>
      <w:sz w:val="28"/>
      <w:szCs w:val="28"/>
    </w:rPr>
  </w:style>
  <w:style w:type="character" w:customStyle="1" w:styleId="25">
    <w:name w:val="Nivel1 Char"/>
    <w:basedOn w:val="24"/>
    <w:link w:val="23"/>
    <w:qFormat/>
    <w:uiPriority w:val="0"/>
    <w:rPr>
      <w:rFonts w:ascii="Arial" w:hAnsi="Arial" w:cs="Arial" w:eastAsiaTheme="majorEastAsia"/>
      <w:color w:val="376092" w:themeColor="accent1" w:themeShade="BF"/>
      <w:sz w:val="28"/>
      <w:szCs w:val="28"/>
    </w:rPr>
  </w:style>
  <w:style w:type="paragraph" w:customStyle="1" w:styleId="26">
    <w:name w:val="Nivel 01"/>
    <w:basedOn w:val="2"/>
    <w:next w:val="1"/>
    <w:link w:val="31"/>
    <w:qFormat/>
    <w:uiPriority w:val="0"/>
    <w:pPr>
      <w:numPr>
        <w:ilvl w:val="0"/>
        <w:numId w:val="1"/>
      </w:numPr>
      <w:tabs>
        <w:tab w:val="left" w:pos="567"/>
      </w:tabs>
      <w:spacing w:before="120" w:after="120" w:line="276" w:lineRule="auto"/>
      <w:ind w:left="360" w:hanging="360"/>
      <w:jc w:val="both"/>
    </w:pPr>
    <w:rPr>
      <w:rFonts w:ascii="Arial" w:hAnsi="Arial" w:cs="Arial"/>
      <w:color w:val="auto"/>
      <w:sz w:val="20"/>
      <w:szCs w:val="20"/>
      <w:lang w:eastAsia="en-US"/>
    </w:rPr>
  </w:style>
  <w:style w:type="character" w:customStyle="1" w:styleId="27">
    <w:name w:val="Texto de comentário Char"/>
    <w:basedOn w:val="3"/>
    <w:link w:val="8"/>
    <w:qFormat/>
    <w:uiPriority w:val="0"/>
    <w:rPr>
      <w:rFonts w:ascii="Ecofont_Spranq_eco_Sans" w:hAnsi="Ecofont_Spranq_eco_Sans" w:cs="Tahoma"/>
    </w:rPr>
  </w:style>
  <w:style w:type="character" w:customStyle="1" w:styleId="28">
    <w:name w:val="Assunto do comentário Char"/>
    <w:basedOn w:val="27"/>
    <w:link w:val="10"/>
    <w:semiHidden/>
    <w:qFormat/>
    <w:uiPriority w:val="0"/>
    <w:rPr>
      <w:rFonts w:ascii="Ecofont_Spranq_eco_Sans" w:hAnsi="Ecofont_Spranq_eco_Sans" w:cs="Tahoma"/>
      <w:b/>
      <w:bCs/>
    </w:rPr>
  </w:style>
  <w:style w:type="character" w:customStyle="1" w:styleId="29">
    <w:name w:val="Texto de balão Char"/>
    <w:basedOn w:val="3"/>
    <w:link w:val="12"/>
    <w:semiHidden/>
    <w:qFormat/>
    <w:uiPriority w:val="0"/>
    <w:rPr>
      <w:rFonts w:ascii="Segoe UI" w:hAnsi="Segoe UI" w:cs="Segoe UI"/>
      <w:sz w:val="18"/>
      <w:szCs w:val="18"/>
    </w:rPr>
  </w:style>
  <w:style w:type="paragraph" w:customStyle="1" w:styleId="30">
    <w:name w:val="Revision"/>
    <w:hidden/>
    <w:semiHidden/>
    <w:qFormat/>
    <w:uiPriority w:val="99"/>
    <w:rPr>
      <w:rFonts w:ascii="Ecofont_Spranq_eco_Sans" w:hAnsi="Ecofont_Spranq_eco_Sans" w:eastAsia="Times New Roman" w:cs="Tahoma"/>
      <w:sz w:val="24"/>
      <w:szCs w:val="24"/>
      <w:lang w:val="pt-BR" w:eastAsia="pt-BR" w:bidi="ar-SA"/>
    </w:rPr>
  </w:style>
  <w:style w:type="character" w:customStyle="1" w:styleId="31">
    <w:name w:val="Nivel 01 Char"/>
    <w:basedOn w:val="3"/>
    <w:link w:val="26"/>
    <w:qFormat/>
    <w:uiPriority w:val="0"/>
    <w:rPr>
      <w:rFonts w:ascii="Arial" w:hAnsi="Arial" w:cs="Arial" w:eastAsiaTheme="majorEastAsia"/>
      <w:b/>
      <w:bCs/>
      <w:lang w:eastAsia="en-US"/>
    </w:rPr>
  </w:style>
  <w:style w:type="paragraph" w:customStyle="1" w:styleId="32">
    <w:name w:val="Nivel 2"/>
    <w:basedOn w:val="1"/>
    <w:link w:val="33"/>
    <w:qFormat/>
    <w:uiPriority w:val="0"/>
    <w:pPr>
      <w:numPr>
        <w:ilvl w:val="1"/>
        <w:numId w:val="1"/>
      </w:numPr>
      <w:autoSpaceDE w:val="0"/>
      <w:autoSpaceDN w:val="0"/>
      <w:adjustRightInd w:val="0"/>
      <w:spacing w:before="120" w:after="120" w:line="276" w:lineRule="auto"/>
      <w:ind w:left="0" w:firstLine="0"/>
      <w:jc w:val="both"/>
    </w:pPr>
    <w:rPr>
      <w:rFonts w:ascii="Arial" w:hAnsi="Arial" w:cs="Arial"/>
      <w:sz w:val="20"/>
      <w:szCs w:val="20"/>
    </w:rPr>
  </w:style>
  <w:style w:type="character" w:customStyle="1" w:styleId="33">
    <w:name w:val="Nivel 2 Char"/>
    <w:basedOn w:val="3"/>
    <w:link w:val="32"/>
    <w:qFormat/>
    <w:locked/>
    <w:uiPriority w:val="0"/>
    <w:rPr>
      <w:rFonts w:ascii="Arial" w:hAnsi="Arial" w:cs="Arial"/>
    </w:rPr>
  </w:style>
  <w:style w:type="paragraph" w:customStyle="1" w:styleId="34">
    <w:name w:val="Nível 2 -Red"/>
    <w:basedOn w:val="32"/>
    <w:link w:val="35"/>
    <w:qFormat/>
    <w:uiPriority w:val="0"/>
    <w:rPr>
      <w:i/>
      <w:iCs/>
      <w:color w:val="FF0000"/>
    </w:rPr>
  </w:style>
  <w:style w:type="character" w:customStyle="1" w:styleId="35">
    <w:name w:val="Nível 2 -Red Char"/>
    <w:basedOn w:val="33"/>
    <w:link w:val="34"/>
    <w:qFormat/>
    <w:uiPriority w:val="0"/>
    <w:rPr>
      <w:rFonts w:ascii="Arial" w:hAnsi="Arial" w:cs="Arial"/>
      <w:i/>
      <w:iCs/>
      <w:color w:val="FF0000"/>
    </w:rPr>
  </w:style>
  <w:style w:type="paragraph" w:customStyle="1" w:styleId="36">
    <w:name w:val="ou"/>
    <w:basedOn w:val="16"/>
    <w:link w:val="37"/>
    <w:qFormat/>
    <w:uiPriority w:val="0"/>
    <w:pPr>
      <w:spacing w:before="60" w:after="60" w:line="259" w:lineRule="auto"/>
      <w:ind w:left="0"/>
      <w:contextualSpacing w:val="0"/>
      <w:jc w:val="center"/>
    </w:pPr>
    <w:rPr>
      <w:rFonts w:ascii="Arial" w:hAnsi="Arial" w:cs="Arial" w:eastAsiaTheme="minorHAnsi"/>
      <w:b/>
      <w:bCs/>
      <w:i/>
      <w:iCs/>
      <w:color w:val="FF0000"/>
      <w:sz w:val="20"/>
      <w:u w:val="single"/>
    </w:rPr>
  </w:style>
  <w:style w:type="character" w:customStyle="1" w:styleId="37">
    <w:name w:val="ou Char"/>
    <w:basedOn w:val="3"/>
    <w:link w:val="36"/>
    <w:qFormat/>
    <w:uiPriority w:val="0"/>
    <w:rPr>
      <w:rFonts w:ascii="Arial" w:hAnsi="Arial" w:cs="Arial" w:eastAsiaTheme="minorHAnsi"/>
      <w:b/>
      <w:bCs/>
      <w:i/>
      <w:iCs/>
      <w:color w:val="FF0000"/>
      <w:szCs w:val="24"/>
      <w:u w:val="single"/>
    </w:rPr>
  </w:style>
  <w:style w:type="paragraph" w:customStyle="1" w:styleId="38">
    <w:name w:val="Nível 3-R"/>
    <w:basedOn w:val="1"/>
    <w:link w:val="39"/>
    <w:qFormat/>
    <w:uiPriority w:val="0"/>
    <w:pPr>
      <w:numPr>
        <w:ilvl w:val="2"/>
        <w:numId w:val="1"/>
      </w:numPr>
      <w:spacing w:before="120" w:after="120" w:line="276" w:lineRule="auto"/>
      <w:ind w:left="0" w:firstLine="0"/>
      <w:jc w:val="both"/>
    </w:pPr>
    <w:rPr>
      <w:rFonts w:ascii="Arial" w:hAnsi="Arial" w:cs="Arial" w:eastAsiaTheme="minorEastAsia"/>
      <w:i/>
      <w:iCs/>
      <w:color w:val="FF0000"/>
      <w:sz w:val="20"/>
      <w:szCs w:val="20"/>
    </w:rPr>
  </w:style>
  <w:style w:type="character" w:customStyle="1" w:styleId="39">
    <w:name w:val="Nível 3-R Char"/>
    <w:basedOn w:val="3"/>
    <w:link w:val="38"/>
    <w:qFormat/>
    <w:uiPriority w:val="0"/>
    <w:rPr>
      <w:rFonts w:ascii="Arial" w:hAnsi="Arial" w:cs="Arial" w:eastAsiaTheme="minorEastAsia"/>
      <w:i/>
      <w:iCs/>
      <w:color w:val="FF0000"/>
    </w:rPr>
  </w:style>
  <w:style w:type="paragraph" w:customStyle="1" w:styleId="40">
    <w:name w:val="Nível 3"/>
    <w:basedOn w:val="38"/>
    <w:link w:val="42"/>
    <w:qFormat/>
    <w:uiPriority w:val="0"/>
    <w:rPr>
      <w:rFonts w:eastAsia="Times New Roman"/>
      <w:i w:val="0"/>
      <w:iCs w:val="0"/>
      <w:color w:val="auto"/>
    </w:rPr>
  </w:style>
  <w:style w:type="paragraph" w:customStyle="1" w:styleId="41">
    <w:name w:val="Nível 4"/>
    <w:basedOn w:val="40"/>
    <w:link w:val="44"/>
    <w:qFormat/>
    <w:uiPriority w:val="0"/>
    <w:pPr>
      <w:numPr>
        <w:ilvl w:val="3"/>
      </w:numPr>
      <w:ind w:left="567" w:firstLine="0"/>
    </w:pPr>
  </w:style>
  <w:style w:type="character" w:customStyle="1" w:styleId="42">
    <w:name w:val="Nível 3 Char"/>
    <w:basedOn w:val="39"/>
    <w:link w:val="40"/>
    <w:qFormat/>
    <w:uiPriority w:val="0"/>
    <w:rPr>
      <w:rFonts w:ascii="Arial" w:hAnsi="Arial" w:cs="Arial" w:eastAsiaTheme="minorEastAsia"/>
      <w:i w:val="0"/>
      <w:iCs w:val="0"/>
      <w:color w:val="FF0000"/>
    </w:rPr>
  </w:style>
  <w:style w:type="paragraph" w:customStyle="1" w:styleId="43">
    <w:name w:val="SubTitNN"/>
    <w:basedOn w:val="1"/>
    <w:link w:val="45"/>
    <w:qFormat/>
    <w:uiPriority w:val="0"/>
    <w:pPr>
      <w:spacing w:before="240" w:after="120" w:line="276" w:lineRule="auto"/>
      <w:jc w:val="both"/>
    </w:pPr>
    <w:rPr>
      <w:rFonts w:ascii="Arial" w:hAnsi="Arial" w:cs="Arial"/>
      <w:b/>
      <w:bCs/>
      <w:iCs/>
      <w:sz w:val="20"/>
      <w:szCs w:val="20"/>
    </w:rPr>
  </w:style>
  <w:style w:type="character" w:customStyle="1" w:styleId="44">
    <w:name w:val="Nível 4 Char"/>
    <w:basedOn w:val="42"/>
    <w:link w:val="41"/>
    <w:qFormat/>
    <w:uiPriority w:val="0"/>
    <w:rPr>
      <w:rFonts w:ascii="Arial" w:hAnsi="Arial" w:cs="Arial" w:eastAsiaTheme="minorEastAsia"/>
      <w:color w:val="FF0000"/>
    </w:rPr>
  </w:style>
  <w:style w:type="character" w:customStyle="1" w:styleId="45">
    <w:name w:val="SubTitNN Char"/>
    <w:basedOn w:val="3"/>
    <w:link w:val="43"/>
    <w:qFormat/>
    <w:uiPriority w:val="0"/>
    <w:rPr>
      <w:rFonts w:ascii="Arial" w:hAnsi="Arial" w:cs="Arial"/>
      <w:b/>
      <w:bCs/>
      <w:iCs/>
    </w:rPr>
  </w:style>
  <w:style w:type="character" w:customStyle="1" w:styleId="46">
    <w:name w:val="font11"/>
    <w:qFormat/>
    <w:uiPriority w:val="0"/>
    <w:rPr>
      <w:rFonts w:hint="default" w:ascii="Arial" w:hAnsi="Arial" w:cs="Arial"/>
      <w:color w:val="000000"/>
      <w:u w:val="none"/>
    </w:rPr>
  </w:style>
  <w:style w:type="character" w:customStyle="1" w:styleId="47">
    <w:name w:val="font31"/>
    <w:qFormat/>
    <w:uiPriority w:val="0"/>
    <w:rPr>
      <w:rFonts w:hint="default" w:ascii="Times New Roman" w:hAnsi="Times New Roman" w:cs="Times New Roman"/>
      <w:color w:val="000000"/>
      <w:u w:val="none"/>
    </w:rPr>
  </w:style>
  <w:style w:type="character" w:customStyle="1" w:styleId="48">
    <w:name w:val="font41"/>
    <w:qFormat/>
    <w:uiPriority w:val="0"/>
    <w:rPr>
      <w:rFonts w:hint="default" w:ascii="Times New Roman" w:hAnsi="Times New Roman" w:cs="Times New Roman"/>
      <w:color w:val="000000"/>
      <w:u w:val="none"/>
    </w:rPr>
  </w:style>
  <w:style w:type="character" w:customStyle="1" w:styleId="49">
    <w:name w:val="font21"/>
    <w:qFormat/>
    <w:uiPriority w:val="0"/>
    <w:rPr>
      <w:rFonts w:hint="default" w:ascii="Arial" w:hAnsi="Arial" w:cs="Arial"/>
      <w:color w:val="00000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3433</Words>
  <Characters>18539</Characters>
  <Lines>154</Lines>
  <Paragraphs>43</Paragraphs>
  <TotalTime>2</TotalTime>
  <ScaleCrop>false</ScaleCrop>
  <LinksUpToDate>false</LinksUpToDate>
  <CharactersWithSpaces>21929</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2023-05-20T12:12:00Z</dcterms:created>
  <dcterms:modified xsi:type="dcterms:W3CDTF">2025-01-06T14:02:42Z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1046-12.2.0.19307</vt:lpwstr>
  </property>
  <property fmtid="{D5CDD505-2E9C-101B-9397-08002B2CF9AE}" pid="4" name="ICV">
    <vt:lpwstr>C44EEB9E46B74E8B8778D921C1AC8DF1_13</vt:lpwstr>
  </property>
</Properties>
</file>